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60F51" w14:textId="77777777" w:rsidR="00965B9B" w:rsidRPr="00FF4022" w:rsidRDefault="00965B9B" w:rsidP="00927382">
      <w:pPr>
        <w:rPr>
          <w:rFonts w:ascii="Verdana" w:hAnsi="Verdana"/>
          <w:b/>
        </w:rPr>
      </w:pPr>
    </w:p>
    <w:p w14:paraId="428672BD" w14:textId="77777777" w:rsidR="00965B9B" w:rsidRPr="00FF4022" w:rsidRDefault="00965B9B" w:rsidP="0013419D">
      <w:pPr>
        <w:jc w:val="center"/>
        <w:rPr>
          <w:rFonts w:ascii="Verdana" w:hAnsi="Verdana"/>
          <w:b/>
          <w:sz w:val="52"/>
          <w:szCs w:val="56"/>
          <w14:shadow w14:blurRad="50800" w14:dist="38100" w14:dir="2700000" w14:sx="100000" w14:sy="100000" w14:kx="0" w14:ky="0" w14:algn="tl">
            <w14:srgbClr w14:val="000000">
              <w14:alpha w14:val="60000"/>
            </w14:srgbClr>
          </w14:shadow>
        </w:rPr>
      </w:pPr>
    </w:p>
    <w:p w14:paraId="3BAA329B" w14:textId="77777777" w:rsidR="00FF4022" w:rsidRPr="00FF4022" w:rsidRDefault="00FF4022" w:rsidP="0013419D">
      <w:pPr>
        <w:ind w:left="-142"/>
        <w:jc w:val="center"/>
        <w:rPr>
          <w:rFonts w:ascii="Verdana" w:hAnsi="Verdana" w:cstheme="minorHAnsi"/>
          <w:b/>
          <w:sz w:val="44"/>
          <w:szCs w:val="40"/>
          <w14:shadow w14:blurRad="50800" w14:dist="38100" w14:dir="2700000" w14:sx="100000" w14:sy="100000" w14:kx="0" w14:ky="0" w14:algn="tl">
            <w14:srgbClr w14:val="000000">
              <w14:alpha w14:val="60000"/>
            </w14:srgbClr>
          </w14:shadow>
        </w:rPr>
      </w:pPr>
    </w:p>
    <w:p w14:paraId="2012C515" w14:textId="77777777" w:rsidR="00FF4022" w:rsidRPr="00FF4022" w:rsidRDefault="00FF4022" w:rsidP="0013419D">
      <w:pPr>
        <w:ind w:left="-142"/>
        <w:jc w:val="center"/>
        <w:rPr>
          <w:rFonts w:ascii="Verdana" w:hAnsi="Verdana" w:cstheme="minorHAnsi"/>
          <w:b/>
          <w:sz w:val="44"/>
          <w:szCs w:val="40"/>
          <w14:shadow w14:blurRad="50800" w14:dist="38100" w14:dir="2700000" w14:sx="100000" w14:sy="100000" w14:kx="0" w14:ky="0" w14:algn="tl">
            <w14:srgbClr w14:val="000000">
              <w14:alpha w14:val="60000"/>
            </w14:srgbClr>
          </w14:shadow>
        </w:rPr>
      </w:pPr>
    </w:p>
    <w:p w14:paraId="5124C93C" w14:textId="77777777" w:rsidR="00FF4022" w:rsidRPr="00FF4022" w:rsidRDefault="00FF4022" w:rsidP="0013419D">
      <w:pPr>
        <w:ind w:left="-142"/>
        <w:jc w:val="center"/>
        <w:rPr>
          <w:rFonts w:ascii="Verdana" w:hAnsi="Verdana" w:cstheme="minorHAnsi"/>
          <w:b/>
          <w:sz w:val="44"/>
          <w:szCs w:val="40"/>
          <w14:shadow w14:blurRad="50800" w14:dist="38100" w14:dir="2700000" w14:sx="100000" w14:sy="100000" w14:kx="0" w14:ky="0" w14:algn="tl">
            <w14:srgbClr w14:val="000000">
              <w14:alpha w14:val="60000"/>
            </w14:srgbClr>
          </w14:shadow>
        </w:rPr>
      </w:pPr>
    </w:p>
    <w:p w14:paraId="08364902" w14:textId="77777777" w:rsidR="00FF4022" w:rsidRPr="00FF4022" w:rsidRDefault="00FF4022" w:rsidP="0013419D">
      <w:pPr>
        <w:ind w:left="-142"/>
        <w:jc w:val="center"/>
        <w:rPr>
          <w:rFonts w:ascii="Verdana" w:hAnsi="Verdana" w:cstheme="minorHAnsi"/>
          <w:b/>
          <w:sz w:val="44"/>
          <w:szCs w:val="40"/>
          <w14:shadow w14:blurRad="50800" w14:dist="38100" w14:dir="2700000" w14:sx="100000" w14:sy="100000" w14:kx="0" w14:ky="0" w14:algn="tl">
            <w14:srgbClr w14:val="000000">
              <w14:alpha w14:val="60000"/>
            </w14:srgbClr>
          </w14:shadow>
        </w:rPr>
      </w:pPr>
    </w:p>
    <w:p w14:paraId="596BF7E8" w14:textId="77777777" w:rsidR="00FF4022" w:rsidRPr="00FF4022" w:rsidRDefault="00FF4022" w:rsidP="0013419D">
      <w:pPr>
        <w:ind w:left="-142"/>
        <w:jc w:val="center"/>
        <w:rPr>
          <w:rFonts w:ascii="Verdana" w:hAnsi="Verdana" w:cstheme="minorHAnsi"/>
          <w:b/>
          <w:sz w:val="44"/>
          <w:szCs w:val="40"/>
          <w14:shadow w14:blurRad="50800" w14:dist="38100" w14:dir="2700000" w14:sx="100000" w14:sy="100000" w14:kx="0" w14:ky="0" w14:algn="tl">
            <w14:srgbClr w14:val="000000">
              <w14:alpha w14:val="60000"/>
            </w14:srgbClr>
          </w14:shadow>
        </w:rPr>
      </w:pPr>
    </w:p>
    <w:p w14:paraId="20148CA9" w14:textId="259B7F36" w:rsidR="00AD6D8F" w:rsidRPr="00FF4022" w:rsidRDefault="003A6EB9" w:rsidP="0013419D">
      <w:pPr>
        <w:ind w:left="-142"/>
        <w:jc w:val="center"/>
        <w:rPr>
          <w:rFonts w:ascii="Verdana" w:hAnsi="Verdana" w:cstheme="minorHAnsi"/>
          <w:b/>
          <w:sz w:val="44"/>
          <w:szCs w:val="40"/>
          <w14:shadow w14:blurRad="50800" w14:dist="38100" w14:dir="2700000" w14:sx="100000" w14:sy="100000" w14:kx="0" w14:ky="0" w14:algn="tl">
            <w14:srgbClr w14:val="000000">
              <w14:alpha w14:val="60000"/>
            </w14:srgbClr>
          </w14:shadow>
        </w:rPr>
      </w:pPr>
      <w:r w:rsidRPr="00FF4022">
        <w:rPr>
          <w:rFonts w:ascii="Verdana" w:hAnsi="Verdana" w:cstheme="minorHAnsi"/>
          <w:b/>
          <w:sz w:val="44"/>
          <w:szCs w:val="40"/>
          <w14:shadow w14:blurRad="50800" w14:dist="38100" w14:dir="2700000" w14:sx="100000" w14:sy="100000" w14:kx="0" w14:ky="0" w14:algn="tl">
            <w14:srgbClr w14:val="000000">
              <w14:alpha w14:val="60000"/>
            </w14:srgbClr>
          </w14:shadow>
        </w:rPr>
        <w:t>RELAZIONE DI SOSTENIBILIT</w:t>
      </w:r>
      <w:r w:rsidR="006E68EC" w:rsidRPr="00FF4022">
        <w:rPr>
          <w:rFonts w:ascii="Verdana" w:hAnsi="Verdana" w:cstheme="minorHAnsi"/>
          <w:b/>
          <w:sz w:val="44"/>
          <w:szCs w:val="40"/>
          <w14:shadow w14:blurRad="50800" w14:dist="38100" w14:dir="2700000" w14:sx="100000" w14:sy="100000" w14:kx="0" w14:ky="0" w14:algn="tl">
            <w14:srgbClr w14:val="000000">
              <w14:alpha w14:val="60000"/>
            </w14:srgbClr>
          </w14:shadow>
        </w:rPr>
        <w:t>À</w:t>
      </w:r>
      <w:r w:rsidRPr="00FF4022">
        <w:rPr>
          <w:rFonts w:ascii="Verdana" w:hAnsi="Verdana" w:cstheme="minorHAnsi"/>
          <w:b/>
          <w:sz w:val="44"/>
          <w:szCs w:val="40"/>
          <w14:shadow w14:blurRad="50800" w14:dist="38100" w14:dir="2700000" w14:sx="100000" w14:sy="100000" w14:kx="0" w14:ky="0" w14:algn="tl">
            <w14:srgbClr w14:val="000000">
              <w14:alpha w14:val="60000"/>
            </w14:srgbClr>
          </w14:shadow>
        </w:rPr>
        <w:t xml:space="preserve"> AMBIENTALE</w:t>
      </w:r>
    </w:p>
    <w:p w14:paraId="4F64E39E" w14:textId="6E0C1C32" w:rsidR="00965B9B" w:rsidRPr="00FF4022" w:rsidRDefault="00965B9B" w:rsidP="0013419D">
      <w:pPr>
        <w:jc w:val="center"/>
        <w:rPr>
          <w:rFonts w:ascii="Verdana" w:hAnsi="Verdana" w:cstheme="minorHAnsi"/>
          <w:b/>
          <w:sz w:val="22"/>
        </w:rPr>
      </w:pPr>
    </w:p>
    <w:p w14:paraId="33A900EF" w14:textId="7B208180" w:rsidR="00FF4022" w:rsidRPr="00FF4022" w:rsidRDefault="00FF4022" w:rsidP="00FF4022">
      <w:pPr>
        <w:ind w:right="425"/>
        <w:jc w:val="center"/>
        <w:rPr>
          <w:rFonts w:ascii="Verdana" w:hAnsi="Verdana"/>
          <w:sz w:val="24"/>
        </w:rPr>
      </w:pPr>
      <w:r w:rsidRPr="00FF4022">
        <w:rPr>
          <w:rFonts w:ascii="Verdana" w:hAnsi="Verdana"/>
          <w:sz w:val="24"/>
        </w:rPr>
        <w:t xml:space="preserve">(ai </w:t>
      </w:r>
      <w:r w:rsidRPr="00F337D1">
        <w:rPr>
          <w:rFonts w:ascii="Verdana" w:hAnsi="Verdana"/>
          <w:sz w:val="24"/>
        </w:rPr>
        <w:t>sensi dell’Allegato B al</w:t>
      </w:r>
      <w:r w:rsidR="00810D9A" w:rsidRPr="00F337D1">
        <w:rPr>
          <w:rFonts w:ascii="Verdana" w:hAnsi="Verdana"/>
          <w:sz w:val="24"/>
        </w:rPr>
        <w:t xml:space="preserve">l’Avviso </w:t>
      </w:r>
      <w:r w:rsidR="00F337D1" w:rsidRPr="00F337D1">
        <w:rPr>
          <w:rFonts w:ascii="Verdana" w:hAnsi="Verdana"/>
          <w:sz w:val="24"/>
        </w:rPr>
        <w:t>del 21.09.2022</w:t>
      </w:r>
      <w:r w:rsidRPr="00F337D1">
        <w:rPr>
          <w:rFonts w:ascii="Verdana" w:hAnsi="Verdana"/>
          <w:sz w:val="24"/>
        </w:rPr>
        <w:t>)</w:t>
      </w:r>
    </w:p>
    <w:p w14:paraId="61A28A85" w14:textId="77777777" w:rsidR="00FF4022" w:rsidRPr="00FF4022" w:rsidRDefault="00FF4022" w:rsidP="0013419D">
      <w:pPr>
        <w:jc w:val="center"/>
        <w:rPr>
          <w:rFonts w:ascii="Verdana" w:hAnsi="Verdana" w:cstheme="minorHAnsi"/>
          <w:b/>
          <w:sz w:val="22"/>
        </w:rPr>
      </w:pPr>
    </w:p>
    <w:p w14:paraId="6C7D1563" w14:textId="77777777" w:rsidR="00965B9B" w:rsidRPr="00FF4022" w:rsidRDefault="00965B9B" w:rsidP="0013419D">
      <w:pPr>
        <w:jc w:val="center"/>
        <w:rPr>
          <w:rFonts w:ascii="Verdana" w:hAnsi="Verdana" w:cstheme="minorHAnsi"/>
          <w:b/>
          <w:sz w:val="22"/>
        </w:rPr>
      </w:pPr>
    </w:p>
    <w:p w14:paraId="7EA48950" w14:textId="126BE4F0" w:rsidR="00965B9B" w:rsidRPr="00FF4022" w:rsidRDefault="00965B9B" w:rsidP="00927382">
      <w:pPr>
        <w:jc w:val="center"/>
        <w:rPr>
          <w:rFonts w:ascii="Verdana" w:hAnsi="Verdana" w:cstheme="minorHAnsi"/>
          <w:sz w:val="28"/>
        </w:rPr>
      </w:pPr>
    </w:p>
    <w:p w14:paraId="503A93DE" w14:textId="77777777" w:rsidR="000023E2" w:rsidRPr="00FF4022" w:rsidRDefault="000023E2" w:rsidP="00927382">
      <w:pPr>
        <w:jc w:val="center"/>
        <w:rPr>
          <w:rFonts w:ascii="Verdana" w:hAnsi="Verdana"/>
          <w:sz w:val="24"/>
        </w:rPr>
      </w:pPr>
    </w:p>
    <w:p w14:paraId="0934C86A" w14:textId="77777777" w:rsidR="00965B9B" w:rsidRPr="00FF4022" w:rsidRDefault="00965B9B" w:rsidP="00927382">
      <w:pPr>
        <w:jc w:val="center"/>
        <w:rPr>
          <w:rFonts w:ascii="Verdana" w:hAnsi="Verdana"/>
          <w:sz w:val="24"/>
        </w:rPr>
      </w:pPr>
    </w:p>
    <w:p w14:paraId="48F931D8" w14:textId="77777777" w:rsidR="00965B9B" w:rsidRPr="00FF4022" w:rsidRDefault="00965B9B" w:rsidP="00927382">
      <w:pPr>
        <w:jc w:val="center"/>
        <w:rPr>
          <w:rFonts w:ascii="Verdana" w:hAnsi="Verdana"/>
          <w:sz w:val="24"/>
        </w:rPr>
      </w:pPr>
    </w:p>
    <w:p w14:paraId="1AFA132C" w14:textId="77777777" w:rsidR="00965B9B" w:rsidRPr="00FF4022" w:rsidRDefault="00965B9B" w:rsidP="00927382">
      <w:pPr>
        <w:jc w:val="center"/>
        <w:rPr>
          <w:rFonts w:ascii="Verdana" w:hAnsi="Verdana"/>
          <w:sz w:val="24"/>
        </w:rPr>
      </w:pPr>
    </w:p>
    <w:p w14:paraId="74C3561F" w14:textId="77777777" w:rsidR="00965B9B" w:rsidRPr="00FF4022" w:rsidRDefault="00965B9B"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39265946"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297F4AEA"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2C63BA8D"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047AEC43"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30310507"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5AB1F059"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2669D75B"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728CE864"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4B9FBC81"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7A377FE6" w14:textId="77777777" w:rsidR="00851225" w:rsidRPr="00FF4022" w:rsidRDefault="00851225" w:rsidP="00927382">
      <w:pPr>
        <w:jc w:val="both"/>
        <w:rPr>
          <w:rFonts w:ascii="Verdana" w:hAnsi="Verdana"/>
          <w:b/>
          <w:sz w:val="40"/>
          <w:highlight w:val="yellow"/>
          <w14:shadow w14:blurRad="50800" w14:dist="38100" w14:dir="2700000" w14:sx="100000" w14:sy="100000" w14:kx="0" w14:ky="0" w14:algn="tl">
            <w14:srgbClr w14:val="000000">
              <w14:alpha w14:val="60000"/>
            </w14:srgbClr>
          </w14:shadow>
        </w:rPr>
      </w:pPr>
    </w:p>
    <w:p w14:paraId="04CBD143" w14:textId="77777777" w:rsidR="00965B9B" w:rsidRPr="00FF4022" w:rsidRDefault="00965B9B" w:rsidP="00927382">
      <w:pPr>
        <w:jc w:val="both"/>
        <w:rPr>
          <w:rFonts w:ascii="Verdana" w:hAnsi="Verdana"/>
          <w:b/>
          <w:sz w:val="24"/>
          <w:highlight w:val="yellow"/>
        </w:rPr>
      </w:pPr>
    </w:p>
    <w:p w14:paraId="13784B0A" w14:textId="17C55EC5" w:rsidR="00E92B46" w:rsidRPr="00FF4022" w:rsidRDefault="00FE266F"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1 – Informazioni generali sul progetto</w:t>
      </w:r>
    </w:p>
    <w:p w14:paraId="79D0DB1F" w14:textId="77777777" w:rsidR="00B309F6" w:rsidRPr="00810D9A" w:rsidRDefault="00AB655B" w:rsidP="004B16C8">
      <w:pPr>
        <w:spacing w:before="120" w:after="120" w:line="276" w:lineRule="auto"/>
        <w:jc w:val="both"/>
        <w:rPr>
          <w:rFonts w:ascii="Verdana" w:hAnsi="Verdana" w:cstheme="minorHAnsi"/>
        </w:rPr>
      </w:pPr>
      <w:r w:rsidRPr="00810D9A">
        <w:rPr>
          <w:rFonts w:ascii="Verdana" w:hAnsi="Verdana" w:cstheme="minorHAnsi"/>
        </w:rPr>
        <w:t>Breve descrizione dell’iniziativa proposta</w:t>
      </w:r>
      <w:r w:rsidR="00895091" w:rsidRPr="00810D9A">
        <w:rPr>
          <w:rFonts w:ascii="Verdana" w:hAnsi="Verdana" w:cstheme="minorHAnsi"/>
        </w:rPr>
        <w:t xml:space="preserve">. </w:t>
      </w:r>
    </w:p>
    <w:p w14:paraId="40006452" w14:textId="77777777" w:rsidR="00FF4022" w:rsidRPr="00810D9A" w:rsidRDefault="00FF4022" w:rsidP="00FF4022">
      <w:pPr>
        <w:spacing w:before="120" w:after="120" w:line="276" w:lineRule="auto"/>
        <w:jc w:val="both"/>
        <w:rPr>
          <w:rFonts w:ascii="Verdana" w:hAnsi="Verdana"/>
          <w:i/>
          <w:iCs/>
        </w:rPr>
      </w:pPr>
      <w:r w:rsidRPr="00810D9A">
        <w:rPr>
          <w:rFonts w:ascii="Verdana" w:hAnsi="Verdana"/>
          <w:i/>
          <w:iCs/>
        </w:rPr>
        <w:t xml:space="preserve">N.B. La Sezione va compilata in relazione ai programmi di investimento di importo pari o superiore a </w:t>
      </w:r>
      <w:proofErr w:type="gramStart"/>
      <w:r w:rsidRPr="00810D9A">
        <w:rPr>
          <w:rFonts w:ascii="Verdana" w:hAnsi="Verdana"/>
          <w:i/>
          <w:iCs/>
        </w:rPr>
        <w:t>10</w:t>
      </w:r>
      <w:proofErr w:type="gramEnd"/>
      <w:r w:rsidRPr="00810D9A">
        <w:rPr>
          <w:rFonts w:ascii="Verdana" w:hAnsi="Verdana"/>
          <w:i/>
          <w:iCs/>
        </w:rPr>
        <w:t xml:space="preserve"> milioni di euro, da intendersi per singola impresa di grandi dimensioni proponente e/o aderente.</w:t>
      </w:r>
    </w:p>
    <w:p w14:paraId="0A573689" w14:textId="77777777" w:rsidR="00BE7038" w:rsidRPr="00FF4022" w:rsidRDefault="00BE7038" w:rsidP="004B16C8">
      <w:pPr>
        <w:spacing w:line="276" w:lineRule="auto"/>
        <w:jc w:val="both"/>
        <w:rPr>
          <w:rFonts w:ascii="Verdana" w:hAnsi="Verdana" w:cstheme="minorHAnsi"/>
          <w:i/>
          <w:iCs/>
          <w:sz w:val="22"/>
          <w:szCs w:val="22"/>
        </w:rPr>
      </w:pPr>
    </w:p>
    <w:p w14:paraId="2C174E76" w14:textId="2ADE8CDB" w:rsidR="00BE7038" w:rsidRPr="00FF4022" w:rsidRDefault="00BE7038"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2 – Interventi previsti</w:t>
      </w:r>
    </w:p>
    <w:p w14:paraId="4CCA1BDC" w14:textId="75BA67DB" w:rsidR="00EA27A3" w:rsidRPr="00FF4022" w:rsidRDefault="00244F70" w:rsidP="004B16C8">
      <w:pPr>
        <w:spacing w:before="120" w:after="120" w:line="276" w:lineRule="auto"/>
        <w:jc w:val="both"/>
        <w:rPr>
          <w:rFonts w:ascii="Verdana" w:hAnsi="Verdana" w:cstheme="minorHAnsi"/>
        </w:rPr>
      </w:pPr>
      <w:r w:rsidRPr="00FF4022">
        <w:rPr>
          <w:rFonts w:ascii="Verdana" w:hAnsi="Verdana" w:cstheme="minorHAnsi"/>
        </w:rPr>
        <w:t xml:space="preserve">All’interno di ciascuno degli </w:t>
      </w:r>
      <w:r w:rsidR="0000745A" w:rsidRPr="00FF4022">
        <w:rPr>
          <w:rFonts w:ascii="Verdana" w:hAnsi="Verdana" w:cstheme="minorHAnsi"/>
        </w:rPr>
        <w:t xml:space="preserve">obiettivi </w:t>
      </w:r>
      <w:r w:rsidR="00297DBF" w:rsidRPr="00FF4022">
        <w:rPr>
          <w:rFonts w:ascii="Verdana" w:hAnsi="Verdana" w:cstheme="minorHAnsi"/>
        </w:rPr>
        <w:t>ambientali DNSH</w:t>
      </w:r>
      <w:r w:rsidR="0013419D" w:rsidRPr="00FF4022">
        <w:rPr>
          <w:rFonts w:ascii="Verdana" w:hAnsi="Verdana" w:cstheme="minorHAnsi"/>
        </w:rPr>
        <w:t>, qualora</w:t>
      </w:r>
      <w:r w:rsidR="00C233C4" w:rsidRPr="00FF4022">
        <w:rPr>
          <w:rFonts w:ascii="Verdana" w:hAnsi="Verdana" w:cstheme="minorHAnsi"/>
        </w:rPr>
        <w:t xml:space="preserve"> applicabili</w:t>
      </w:r>
      <w:r w:rsidR="00297DBF" w:rsidRPr="00FF4022">
        <w:rPr>
          <w:rFonts w:ascii="Verdana" w:hAnsi="Verdana" w:cstheme="minorHAnsi"/>
        </w:rPr>
        <w:t>, d</w:t>
      </w:r>
      <w:r w:rsidR="00480F04" w:rsidRPr="00FF4022">
        <w:rPr>
          <w:rFonts w:ascii="Verdana" w:hAnsi="Verdana" w:cstheme="minorHAnsi"/>
        </w:rPr>
        <w:t>escrivere</w:t>
      </w:r>
      <w:r w:rsidR="00EA27A3" w:rsidRPr="00FF4022">
        <w:rPr>
          <w:rFonts w:ascii="Verdana" w:hAnsi="Verdana" w:cstheme="minorHAnsi"/>
        </w:rPr>
        <w:t>:</w:t>
      </w:r>
    </w:p>
    <w:p w14:paraId="5C60AAD3" w14:textId="12F67CD8" w:rsidR="00FB1BD5" w:rsidRPr="00FF4022" w:rsidRDefault="00763BBA" w:rsidP="004B16C8">
      <w:pPr>
        <w:pStyle w:val="Paragrafoelenco"/>
        <w:numPr>
          <w:ilvl w:val="0"/>
          <w:numId w:val="1"/>
        </w:numPr>
        <w:spacing w:before="120" w:after="120" w:line="276" w:lineRule="auto"/>
        <w:jc w:val="both"/>
        <w:rPr>
          <w:rFonts w:ascii="Verdana" w:hAnsi="Verdana" w:cstheme="minorHAnsi"/>
        </w:rPr>
      </w:pPr>
      <w:r w:rsidRPr="00FF4022">
        <w:rPr>
          <w:rFonts w:ascii="Verdana" w:hAnsi="Verdana" w:cstheme="minorHAnsi"/>
        </w:rPr>
        <w:t>tipologia di</w:t>
      </w:r>
      <w:r w:rsidR="0074004D" w:rsidRPr="00FF4022">
        <w:rPr>
          <w:rFonts w:ascii="Verdana" w:hAnsi="Verdana" w:cstheme="minorHAnsi"/>
        </w:rPr>
        <w:t xml:space="preserve"> attività previste</w:t>
      </w:r>
      <w:r w:rsidR="00C14AB1" w:rsidRPr="00FF4022">
        <w:rPr>
          <w:rFonts w:ascii="Verdana" w:hAnsi="Verdana" w:cstheme="minorHAnsi"/>
        </w:rPr>
        <w:t>;</w:t>
      </w:r>
    </w:p>
    <w:p w14:paraId="5D8807F0" w14:textId="77777777" w:rsidR="006D4F9A" w:rsidRPr="00FF4022" w:rsidRDefault="00FB1BD5" w:rsidP="004B16C8">
      <w:pPr>
        <w:pStyle w:val="Paragrafoelenco"/>
        <w:numPr>
          <w:ilvl w:val="0"/>
          <w:numId w:val="1"/>
        </w:numPr>
        <w:spacing w:before="120" w:after="120" w:line="276" w:lineRule="auto"/>
        <w:jc w:val="both"/>
        <w:rPr>
          <w:rFonts w:ascii="Verdana" w:hAnsi="Verdana" w:cstheme="minorHAnsi"/>
        </w:rPr>
      </w:pPr>
      <w:r w:rsidRPr="00FF4022">
        <w:rPr>
          <w:rFonts w:ascii="Verdana" w:hAnsi="Verdana" w:cstheme="minorHAnsi"/>
        </w:rPr>
        <w:t xml:space="preserve">tecnologie utilizzate </w:t>
      </w:r>
      <w:r w:rsidR="006D4F9A" w:rsidRPr="00FF4022">
        <w:rPr>
          <w:rFonts w:ascii="Verdana" w:hAnsi="Verdana" w:cstheme="minorHAnsi"/>
        </w:rPr>
        <w:t>per raggiungere gli obiettivi;</w:t>
      </w:r>
    </w:p>
    <w:p w14:paraId="405D4CAC" w14:textId="2F8986F9" w:rsidR="00ED1469" w:rsidRPr="00FF4022" w:rsidRDefault="00255299" w:rsidP="004B16C8">
      <w:pPr>
        <w:pStyle w:val="Paragrafoelenco"/>
        <w:numPr>
          <w:ilvl w:val="0"/>
          <w:numId w:val="1"/>
        </w:numPr>
        <w:spacing w:before="120" w:after="120" w:line="276" w:lineRule="auto"/>
        <w:jc w:val="both"/>
        <w:rPr>
          <w:rFonts w:ascii="Verdana" w:hAnsi="Verdana" w:cstheme="minorHAnsi"/>
        </w:rPr>
      </w:pPr>
      <w:r w:rsidRPr="00FF4022">
        <w:rPr>
          <w:rFonts w:ascii="Verdana" w:hAnsi="Verdana" w:cstheme="minorHAnsi"/>
        </w:rPr>
        <w:t>quantificazione degli</w:t>
      </w:r>
      <w:r w:rsidR="00763BBA" w:rsidRPr="00FF4022">
        <w:rPr>
          <w:rFonts w:ascii="Verdana" w:hAnsi="Verdana" w:cstheme="minorHAnsi"/>
        </w:rPr>
        <w:t xml:space="preserve"> in</w:t>
      </w:r>
      <w:r w:rsidR="00FB6F89" w:rsidRPr="00FF4022">
        <w:rPr>
          <w:rFonts w:ascii="Verdana" w:hAnsi="Verdana" w:cstheme="minorHAnsi"/>
        </w:rPr>
        <w:t>vestimenti</w:t>
      </w:r>
      <w:r w:rsidR="0097434C" w:rsidRPr="00FF4022">
        <w:rPr>
          <w:rFonts w:ascii="Verdana" w:hAnsi="Verdana" w:cstheme="minorHAnsi"/>
        </w:rPr>
        <w:t xml:space="preserve"> (distinguendo la quota relativa all’investimento produttivo e quella relativa al progetto R&amp;S)</w:t>
      </w:r>
      <w:r w:rsidR="00C46469" w:rsidRPr="00FF4022">
        <w:rPr>
          <w:rFonts w:ascii="Verdana" w:hAnsi="Verdana" w:cstheme="minorHAnsi"/>
        </w:rPr>
        <w:t>.</w:t>
      </w:r>
    </w:p>
    <w:p w14:paraId="4A0BC530" w14:textId="77777777" w:rsidR="00FF4022" w:rsidRPr="00FF4022" w:rsidRDefault="00FF4022" w:rsidP="00FF4022">
      <w:pPr>
        <w:spacing w:before="120" w:after="120" w:line="276" w:lineRule="auto"/>
        <w:jc w:val="both"/>
        <w:rPr>
          <w:rFonts w:ascii="Verdana" w:hAnsi="Verdana" w:cstheme="minorHAnsi"/>
          <w:sz w:val="22"/>
          <w:szCs w:val="22"/>
        </w:rPr>
      </w:pPr>
    </w:p>
    <w:p w14:paraId="74A346AE" w14:textId="64126289" w:rsidR="00BE7038" w:rsidRPr="00FF4022" w:rsidRDefault="00ED1469"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3 – Risultati attesi</w:t>
      </w:r>
    </w:p>
    <w:p w14:paraId="05535DC9" w14:textId="18EAB706" w:rsidR="00C03DA4" w:rsidRPr="00FF4022" w:rsidRDefault="00D32D15" w:rsidP="004B16C8">
      <w:pPr>
        <w:spacing w:before="120" w:after="120" w:line="276" w:lineRule="auto"/>
        <w:jc w:val="both"/>
        <w:rPr>
          <w:rFonts w:ascii="Verdana" w:hAnsi="Verdana" w:cstheme="minorHAnsi"/>
          <w:b/>
          <w:bCs/>
          <w:sz w:val="22"/>
          <w:szCs w:val="22"/>
        </w:rPr>
      </w:pPr>
      <w:r w:rsidRPr="00FF4022">
        <w:rPr>
          <w:rFonts w:ascii="Verdana" w:hAnsi="Verdana" w:cstheme="minorHAnsi"/>
          <w:b/>
          <w:bCs/>
          <w:sz w:val="22"/>
          <w:szCs w:val="22"/>
        </w:rPr>
        <w:t xml:space="preserve">3.1 </w:t>
      </w:r>
      <w:r w:rsidR="00805F49" w:rsidRPr="00FF4022">
        <w:rPr>
          <w:rFonts w:ascii="Verdana" w:hAnsi="Verdana" w:cstheme="minorHAnsi"/>
          <w:b/>
          <w:bCs/>
          <w:sz w:val="22"/>
          <w:szCs w:val="22"/>
        </w:rPr>
        <w:t>Valutazione di sostenibilità</w:t>
      </w:r>
    </w:p>
    <w:p w14:paraId="7FC470C0" w14:textId="547B2F20" w:rsidR="00E772DB" w:rsidRPr="00FF4022" w:rsidRDefault="00E772DB" w:rsidP="004B16C8">
      <w:pPr>
        <w:spacing w:before="120" w:after="120" w:line="276" w:lineRule="auto"/>
        <w:jc w:val="both"/>
        <w:rPr>
          <w:rFonts w:ascii="Verdana" w:hAnsi="Verdana" w:cstheme="minorHAnsi"/>
        </w:rPr>
      </w:pPr>
      <w:r w:rsidRPr="00FF4022">
        <w:rPr>
          <w:rFonts w:ascii="Verdana" w:hAnsi="Verdana" w:cstheme="minorHAnsi"/>
        </w:rPr>
        <w:t>Fornire di seguito tutti i dettagli disponibili in merito al “</w:t>
      </w:r>
      <w:r w:rsidRPr="00FF4022">
        <w:rPr>
          <w:rFonts w:ascii="Verdana" w:hAnsi="Verdana" w:cstheme="minorHAnsi"/>
          <w:i/>
          <w:iCs/>
        </w:rPr>
        <w:t>contributo sostanziale</w:t>
      </w:r>
      <w:r w:rsidRPr="00FF4022">
        <w:rPr>
          <w:rFonts w:ascii="Verdana" w:hAnsi="Verdana" w:cstheme="minorHAnsi"/>
        </w:rPr>
        <w:t>” per il raggiungimento d</w:t>
      </w:r>
      <w:r w:rsidR="00E90C49" w:rsidRPr="00FF4022">
        <w:rPr>
          <w:rFonts w:ascii="Verdana" w:hAnsi="Verdana" w:cstheme="minorHAnsi"/>
        </w:rPr>
        <w:t xml:space="preserve">egli </w:t>
      </w:r>
      <w:r w:rsidRPr="00FF4022">
        <w:rPr>
          <w:rFonts w:ascii="Verdana" w:hAnsi="Verdana" w:cstheme="minorHAnsi"/>
        </w:rPr>
        <w:t>obiettivi ambientali</w:t>
      </w:r>
      <w:r w:rsidR="0005396C" w:rsidRPr="00FF4022">
        <w:rPr>
          <w:rFonts w:ascii="Verdana" w:hAnsi="Verdana" w:cstheme="minorHAnsi"/>
        </w:rPr>
        <w:t xml:space="preserve"> pertinenti</w:t>
      </w:r>
      <w:r w:rsidR="00E90C49" w:rsidRPr="00FF4022">
        <w:rPr>
          <w:rFonts w:ascii="Verdana" w:hAnsi="Verdana" w:cstheme="minorHAnsi"/>
        </w:rPr>
        <w:t>, almeno uno,</w:t>
      </w:r>
      <w:r w:rsidR="0005396C" w:rsidRPr="00FF4022">
        <w:rPr>
          <w:rFonts w:ascii="Verdana" w:hAnsi="Verdana" w:cstheme="minorHAnsi"/>
        </w:rPr>
        <w:t xml:space="preserve"> </w:t>
      </w:r>
      <w:r w:rsidR="000C7E79" w:rsidRPr="00FF4022">
        <w:rPr>
          <w:rFonts w:ascii="Verdana" w:hAnsi="Verdana" w:cstheme="minorHAnsi"/>
        </w:rPr>
        <w:t>come descritti nella Tabella 1</w:t>
      </w:r>
      <w:r w:rsidR="00E90C49" w:rsidRPr="00FF4022">
        <w:rPr>
          <w:rFonts w:ascii="Verdana" w:hAnsi="Verdana" w:cstheme="minorHAnsi"/>
        </w:rPr>
        <w:t xml:space="preserve"> (</w:t>
      </w:r>
      <w:r w:rsidR="00E90C49" w:rsidRPr="00FF4022">
        <w:rPr>
          <w:rFonts w:ascii="Verdana" w:hAnsi="Verdana" w:cstheme="minorHAnsi"/>
          <w:u w:val="single"/>
        </w:rPr>
        <w:t>valutazione di sostenibilità positiva)</w:t>
      </w:r>
      <w:r w:rsidRPr="00FF4022">
        <w:rPr>
          <w:rFonts w:ascii="Verdana" w:hAnsi="Verdana" w:cstheme="minorHAnsi"/>
        </w:rPr>
        <w:t xml:space="preserve">. Quando è dimostrato il "contributo sostanziale" ad almeno uno dei sei obiettivi, si considera implicita la conformità al principio DNSH per tale obiettivo. </w:t>
      </w:r>
    </w:p>
    <w:p w14:paraId="770FFEAF" w14:textId="1D48A0F3" w:rsidR="00D11A2E" w:rsidRPr="00FF4022" w:rsidRDefault="00D11A2E" w:rsidP="004B16C8">
      <w:pPr>
        <w:spacing w:before="120" w:line="276" w:lineRule="auto"/>
        <w:jc w:val="both"/>
        <w:rPr>
          <w:rFonts w:ascii="Verdana" w:hAnsi="Verdana" w:cstheme="minorHAnsi"/>
        </w:rPr>
      </w:pPr>
      <w:r w:rsidRPr="00FF4022">
        <w:rPr>
          <w:rFonts w:ascii="Verdana" w:hAnsi="Verdana" w:cstheme="minorHAnsi"/>
        </w:rPr>
        <w:t>Possibili elementi di prova:</w:t>
      </w:r>
    </w:p>
    <w:p w14:paraId="3BAA86F8" w14:textId="4D4A5E48" w:rsidR="00D11A2E" w:rsidRPr="00FF4022" w:rsidRDefault="00D11A2E" w:rsidP="004B16C8">
      <w:pPr>
        <w:pStyle w:val="Paragrafoelenco"/>
        <w:numPr>
          <w:ilvl w:val="0"/>
          <w:numId w:val="6"/>
        </w:numPr>
        <w:spacing w:line="276" w:lineRule="auto"/>
        <w:ind w:left="714" w:hanging="357"/>
        <w:jc w:val="both"/>
        <w:rPr>
          <w:rFonts w:ascii="Verdana" w:hAnsi="Verdana" w:cstheme="minorHAnsi"/>
        </w:rPr>
      </w:pPr>
      <w:r w:rsidRPr="00FF4022">
        <w:rPr>
          <w:rFonts w:ascii="Verdana" w:hAnsi="Verdana" w:cstheme="minorHAnsi"/>
        </w:rPr>
        <w:t>presenza di valutazioni ambientali, valutazione dei rischi, etc.;</w:t>
      </w:r>
    </w:p>
    <w:p w14:paraId="1808BAA1" w14:textId="2ADF5FB2" w:rsidR="00D11A2E" w:rsidRPr="00FF4022" w:rsidRDefault="00D11A2E" w:rsidP="004B16C8">
      <w:pPr>
        <w:pStyle w:val="Paragrafoelenco"/>
        <w:numPr>
          <w:ilvl w:val="0"/>
          <w:numId w:val="6"/>
        </w:numPr>
        <w:spacing w:line="276" w:lineRule="auto"/>
        <w:ind w:left="714" w:hanging="357"/>
        <w:jc w:val="both"/>
        <w:rPr>
          <w:rFonts w:ascii="Verdana" w:hAnsi="Verdana" w:cstheme="minorHAnsi"/>
        </w:rPr>
      </w:pPr>
      <w:r w:rsidRPr="00FF4022">
        <w:rPr>
          <w:rFonts w:ascii="Verdana" w:hAnsi="Verdana" w:cstheme="minorHAnsi"/>
        </w:rPr>
        <w:t>esiti di consulenze e asseverazioni di esperti;</w:t>
      </w:r>
    </w:p>
    <w:p w14:paraId="3BC3B869" w14:textId="77777777" w:rsidR="00587887" w:rsidRPr="00FF4022" w:rsidRDefault="00587887" w:rsidP="004B16C8">
      <w:pPr>
        <w:pStyle w:val="Paragrafoelenco"/>
        <w:numPr>
          <w:ilvl w:val="0"/>
          <w:numId w:val="6"/>
        </w:numPr>
        <w:jc w:val="both"/>
        <w:rPr>
          <w:rFonts w:ascii="Verdana" w:hAnsi="Verdana" w:cstheme="minorHAnsi"/>
        </w:rPr>
      </w:pPr>
      <w:r w:rsidRPr="00FF4022">
        <w:rPr>
          <w:rFonts w:ascii="Verdana" w:hAnsi="Verdana" w:cstheme="minorHAnsi"/>
        </w:rPr>
        <w:t>utilizzo, nel progetto, delle migliori tecniche disponibili (BAT);</w:t>
      </w:r>
    </w:p>
    <w:p w14:paraId="21EC607F" w14:textId="1E8E7BD6" w:rsidR="00D11A2E" w:rsidRPr="00FF4022" w:rsidRDefault="00D11A2E" w:rsidP="004B16C8">
      <w:pPr>
        <w:pStyle w:val="Paragrafoelenco"/>
        <w:numPr>
          <w:ilvl w:val="0"/>
          <w:numId w:val="6"/>
        </w:numPr>
        <w:spacing w:line="276" w:lineRule="auto"/>
        <w:ind w:left="714" w:hanging="357"/>
        <w:jc w:val="both"/>
        <w:rPr>
          <w:rFonts w:ascii="Verdana" w:hAnsi="Verdana" w:cstheme="minorHAnsi"/>
        </w:rPr>
      </w:pPr>
      <w:r w:rsidRPr="00FF4022">
        <w:rPr>
          <w:rFonts w:ascii="Verdana" w:hAnsi="Verdana" w:cstheme="minorHAnsi"/>
        </w:rPr>
        <w:t xml:space="preserve">evidenze sull’utilizzo di sistemi e misure per evitare impatti </w:t>
      </w:r>
      <w:r w:rsidR="00F8170C" w:rsidRPr="00FF4022">
        <w:rPr>
          <w:rFonts w:ascii="Verdana" w:hAnsi="Verdana" w:cstheme="minorHAnsi"/>
        </w:rPr>
        <w:t xml:space="preserve">climatico/ambientali </w:t>
      </w:r>
      <w:r w:rsidRPr="00FF4022">
        <w:rPr>
          <w:rFonts w:ascii="Verdana" w:hAnsi="Verdana" w:cstheme="minorHAnsi"/>
        </w:rPr>
        <w:t>negativi;</w:t>
      </w:r>
    </w:p>
    <w:p w14:paraId="043EAFD9" w14:textId="1B3B7CEB" w:rsidR="00D11A2E" w:rsidRPr="00FF4022" w:rsidRDefault="00D11A2E" w:rsidP="004B16C8">
      <w:pPr>
        <w:pStyle w:val="Paragrafoelenco"/>
        <w:numPr>
          <w:ilvl w:val="0"/>
          <w:numId w:val="6"/>
        </w:numPr>
        <w:spacing w:line="276" w:lineRule="auto"/>
        <w:ind w:left="714" w:hanging="357"/>
        <w:jc w:val="both"/>
        <w:rPr>
          <w:rFonts w:ascii="Verdana" w:hAnsi="Verdana" w:cstheme="minorHAnsi"/>
        </w:rPr>
      </w:pPr>
      <w:r w:rsidRPr="00FF4022">
        <w:rPr>
          <w:rFonts w:ascii="Verdana" w:hAnsi="Verdana" w:cstheme="minorHAnsi"/>
        </w:rPr>
        <w:t>possesso</w:t>
      </w:r>
      <w:r w:rsidR="00C95795" w:rsidRPr="00FF4022">
        <w:rPr>
          <w:rFonts w:ascii="Verdana" w:hAnsi="Verdana" w:cstheme="minorHAnsi"/>
        </w:rPr>
        <w:t xml:space="preserve">, relativamente al processo produttivo, </w:t>
      </w:r>
      <w:r w:rsidRPr="00FF4022">
        <w:rPr>
          <w:rFonts w:ascii="Verdana" w:hAnsi="Verdana" w:cstheme="minorHAnsi"/>
        </w:rPr>
        <w:t>di una certificazione ambientale (</w:t>
      </w:r>
      <w:r w:rsidR="000805DB" w:rsidRPr="00FF4022">
        <w:rPr>
          <w:rFonts w:ascii="Verdana" w:hAnsi="Verdana" w:cstheme="minorHAnsi"/>
        </w:rPr>
        <w:t xml:space="preserve">ad es. </w:t>
      </w:r>
      <w:r w:rsidRPr="00FF4022">
        <w:rPr>
          <w:rFonts w:ascii="Verdana" w:hAnsi="Verdana" w:cstheme="minorHAnsi"/>
        </w:rPr>
        <w:t xml:space="preserve">EMAS, UNI EN ISO14001, Ecolabel) </w:t>
      </w:r>
      <w:r w:rsidR="00C95795" w:rsidRPr="00FF4022">
        <w:rPr>
          <w:rFonts w:ascii="Verdana" w:hAnsi="Verdana" w:cstheme="minorHAnsi"/>
        </w:rPr>
        <w:t xml:space="preserve">o </w:t>
      </w:r>
      <w:r w:rsidRPr="00FF4022">
        <w:rPr>
          <w:rFonts w:ascii="Verdana" w:hAnsi="Verdana" w:cstheme="minorHAnsi"/>
        </w:rPr>
        <w:t>dimostrazione di avvio della procedura di certificazione</w:t>
      </w:r>
      <w:r w:rsidR="00F8170C" w:rsidRPr="00FF4022">
        <w:rPr>
          <w:rFonts w:ascii="Verdana" w:hAnsi="Verdana" w:cstheme="minorHAnsi"/>
        </w:rPr>
        <w:t>;</w:t>
      </w:r>
    </w:p>
    <w:p w14:paraId="4B718A1A" w14:textId="77777777" w:rsidR="00852154" w:rsidRPr="00FF4022" w:rsidRDefault="00852154" w:rsidP="004B16C8">
      <w:pPr>
        <w:pStyle w:val="Paragrafoelenco"/>
        <w:numPr>
          <w:ilvl w:val="0"/>
          <w:numId w:val="6"/>
        </w:numPr>
        <w:spacing w:line="276" w:lineRule="auto"/>
        <w:ind w:left="714" w:hanging="357"/>
        <w:jc w:val="both"/>
        <w:rPr>
          <w:rFonts w:ascii="Verdana" w:hAnsi="Verdana" w:cstheme="minorHAnsi"/>
        </w:rPr>
      </w:pPr>
      <w:r w:rsidRPr="00FF4022">
        <w:rPr>
          <w:rFonts w:ascii="Verdana" w:hAnsi="Verdana" w:cstheme="minorHAnsi"/>
        </w:rPr>
        <w:t>progetto di riconversione di attività produttive ad elevato impatto ambientale;</w:t>
      </w:r>
    </w:p>
    <w:p w14:paraId="261B9A98" w14:textId="212C7742" w:rsidR="00852154" w:rsidRPr="00FF4022" w:rsidRDefault="00852154" w:rsidP="004B16C8">
      <w:pPr>
        <w:pStyle w:val="Paragrafoelenco"/>
        <w:numPr>
          <w:ilvl w:val="0"/>
          <w:numId w:val="6"/>
        </w:numPr>
        <w:spacing w:line="276" w:lineRule="auto"/>
        <w:ind w:left="714" w:hanging="357"/>
        <w:jc w:val="both"/>
        <w:rPr>
          <w:rFonts w:ascii="Verdana" w:hAnsi="Verdana" w:cstheme="minorHAnsi"/>
        </w:rPr>
      </w:pPr>
      <w:r w:rsidRPr="00FF4022">
        <w:rPr>
          <w:rFonts w:ascii="Verdana" w:hAnsi="Verdana" w:cstheme="minorHAnsi"/>
        </w:rPr>
        <w:t xml:space="preserve">riguardo il solo obiettivo di </w:t>
      </w:r>
      <w:r w:rsidRPr="00FF4022">
        <w:rPr>
          <w:rFonts w:ascii="Verdana" w:hAnsi="Verdana" w:cstheme="minorHAnsi"/>
          <w:u w:val="single"/>
        </w:rPr>
        <w:t>mitigazione del cambiamento climatico</w:t>
      </w:r>
      <w:r w:rsidRPr="00FF4022">
        <w:rPr>
          <w:rFonts w:ascii="Verdana" w:hAnsi="Verdana" w:cstheme="minorHAnsi"/>
        </w:rPr>
        <w:t>:</w:t>
      </w:r>
    </w:p>
    <w:p w14:paraId="59C3D7A8" w14:textId="77777777" w:rsidR="00FF4022" w:rsidRPr="00BF79BA" w:rsidRDefault="00FF4022" w:rsidP="00FF4022">
      <w:pPr>
        <w:pStyle w:val="Paragrafoelenco"/>
        <w:numPr>
          <w:ilvl w:val="2"/>
          <w:numId w:val="6"/>
        </w:numPr>
        <w:spacing w:line="276" w:lineRule="auto"/>
        <w:ind w:left="1276"/>
        <w:jc w:val="both"/>
        <w:rPr>
          <w:rFonts w:ascii="Verdana" w:hAnsi="Verdana"/>
        </w:rPr>
      </w:pPr>
      <w:r>
        <w:rPr>
          <w:rFonts w:ascii="Verdana" w:hAnsi="Verdana"/>
        </w:rPr>
        <w:t xml:space="preserve">per </w:t>
      </w:r>
      <w:r w:rsidRPr="00BF79BA">
        <w:rPr>
          <w:rFonts w:ascii="Verdana" w:hAnsi="Verdana"/>
        </w:rPr>
        <w:t xml:space="preserve">interventi previsti in </w:t>
      </w:r>
      <w:r w:rsidRPr="00BF79BA">
        <w:rPr>
          <w:rFonts w:ascii="Verdana" w:hAnsi="Verdana"/>
          <w:u w:val="single"/>
        </w:rPr>
        <w:t>opere murarie</w:t>
      </w:r>
      <w:r w:rsidRPr="00BF79BA">
        <w:rPr>
          <w:rFonts w:ascii="Verdana" w:hAnsi="Verdana"/>
        </w:rPr>
        <w:t>:</w:t>
      </w:r>
    </w:p>
    <w:p w14:paraId="49353CD8" w14:textId="77777777" w:rsidR="00FF4022" w:rsidRDefault="00FF4022" w:rsidP="00FF4022">
      <w:pPr>
        <w:pStyle w:val="Paragrafoelenco"/>
        <w:numPr>
          <w:ilvl w:val="0"/>
          <w:numId w:val="24"/>
        </w:numPr>
        <w:spacing w:line="276" w:lineRule="auto"/>
        <w:ind w:left="1843"/>
        <w:jc w:val="both"/>
        <w:rPr>
          <w:rFonts w:ascii="Verdana" w:hAnsi="Verdana"/>
        </w:rPr>
      </w:pPr>
      <w:r w:rsidRPr="00BF79BA">
        <w:rPr>
          <w:rFonts w:ascii="Verdana" w:hAnsi="Verdana"/>
        </w:rPr>
        <w:t xml:space="preserve">in caso di </w:t>
      </w:r>
      <w:r w:rsidRPr="00BF79BA">
        <w:rPr>
          <w:rFonts w:ascii="Verdana" w:hAnsi="Verdana"/>
          <w:b/>
          <w:bCs/>
        </w:rPr>
        <w:t>costruzione di nuovi edifici</w:t>
      </w:r>
      <w:r w:rsidRPr="00BF79BA">
        <w:rPr>
          <w:rFonts w:ascii="Verdana" w:hAnsi="Verdana"/>
        </w:rPr>
        <w:t>, possesso di:</w:t>
      </w:r>
    </w:p>
    <w:p w14:paraId="1A6C0B21" w14:textId="77777777" w:rsidR="00FF4022" w:rsidRDefault="00FF4022" w:rsidP="00FF4022">
      <w:pPr>
        <w:pStyle w:val="Paragrafoelenco"/>
        <w:numPr>
          <w:ilvl w:val="2"/>
          <w:numId w:val="25"/>
        </w:numPr>
        <w:spacing w:line="276" w:lineRule="auto"/>
        <w:jc w:val="both"/>
        <w:rPr>
          <w:rFonts w:ascii="Verdana" w:hAnsi="Verdana"/>
        </w:rPr>
      </w:pPr>
      <w:r w:rsidRPr="004E17C1">
        <w:rPr>
          <w:rFonts w:ascii="Verdana" w:hAnsi="Verdana"/>
        </w:rPr>
        <w:t>attestazione di prestazione energetica (APE) rilasciata da soggetto abilitato con la quale certificare la classificazione di edificio ad energia quasi zero (NZEB);</w:t>
      </w:r>
    </w:p>
    <w:p w14:paraId="3DF3B09A" w14:textId="77777777" w:rsidR="00FF4022" w:rsidRDefault="00FF4022" w:rsidP="00FF4022">
      <w:pPr>
        <w:pStyle w:val="Paragrafoelenco"/>
        <w:numPr>
          <w:ilvl w:val="2"/>
          <w:numId w:val="25"/>
        </w:numPr>
        <w:spacing w:line="276" w:lineRule="auto"/>
        <w:jc w:val="both"/>
        <w:rPr>
          <w:rFonts w:ascii="Verdana" w:hAnsi="Verdana"/>
        </w:rPr>
      </w:pPr>
      <w:r w:rsidRPr="004E17C1">
        <w:rPr>
          <w:rFonts w:ascii="Verdana" w:hAnsi="Verdana"/>
        </w:rPr>
        <w:t>asseverazione di soggetto abilitato attestante che l’indice di prestazione energetica globale non rinnovabile (</w:t>
      </w:r>
      <w:proofErr w:type="spellStart"/>
      <w:r w:rsidRPr="004E17C1">
        <w:rPr>
          <w:rFonts w:ascii="Verdana" w:hAnsi="Verdana"/>
        </w:rPr>
        <w:t>EPgl</w:t>
      </w:r>
      <w:proofErr w:type="spellEnd"/>
      <w:r w:rsidRPr="004E17C1">
        <w:rPr>
          <w:rFonts w:ascii="Verdana" w:hAnsi="Verdana"/>
        </w:rPr>
        <w:t xml:space="preserve">, </w:t>
      </w:r>
      <w:proofErr w:type="spellStart"/>
      <w:r w:rsidRPr="004E17C1">
        <w:rPr>
          <w:rFonts w:ascii="Verdana" w:hAnsi="Verdana"/>
        </w:rPr>
        <w:t>nren</w:t>
      </w:r>
      <w:proofErr w:type="spellEnd"/>
      <w:r w:rsidRPr="004E17C1">
        <w:rPr>
          <w:rFonts w:ascii="Verdana" w:hAnsi="Verdana"/>
        </w:rPr>
        <w:t>) dell’edificio sia inferiore per una quota almeno pari al 20% rispetto all’indice di prestazione energetica globale non rinnovabile di riferimento necessario ad accedere alla classificazione A4 di prestazione energetica;</w:t>
      </w:r>
    </w:p>
    <w:p w14:paraId="48CAE5F4" w14:textId="77777777" w:rsidR="00FF4022" w:rsidRPr="004E17C1" w:rsidRDefault="00FF4022" w:rsidP="00FF4022">
      <w:pPr>
        <w:pStyle w:val="Paragrafoelenco"/>
        <w:spacing w:line="276" w:lineRule="auto"/>
        <w:ind w:left="2340"/>
        <w:jc w:val="both"/>
        <w:rPr>
          <w:rFonts w:ascii="Verdana" w:hAnsi="Verdana"/>
        </w:rPr>
      </w:pPr>
    </w:p>
    <w:p w14:paraId="2AE48B99" w14:textId="77777777" w:rsidR="00FF4022" w:rsidRPr="00BF79BA" w:rsidRDefault="00FF4022" w:rsidP="00FF4022">
      <w:pPr>
        <w:pStyle w:val="Paragrafoelenco"/>
        <w:numPr>
          <w:ilvl w:val="0"/>
          <w:numId w:val="24"/>
        </w:numPr>
        <w:spacing w:line="276" w:lineRule="auto"/>
        <w:ind w:left="1843" w:hanging="425"/>
        <w:jc w:val="both"/>
        <w:rPr>
          <w:rFonts w:ascii="Verdana" w:hAnsi="Verdana"/>
        </w:rPr>
      </w:pPr>
      <w:r w:rsidRPr="00BF79BA">
        <w:rPr>
          <w:rFonts w:ascii="Verdana" w:hAnsi="Verdana"/>
        </w:rPr>
        <w:t xml:space="preserve">in caso di </w:t>
      </w:r>
      <w:r w:rsidRPr="00BF79BA">
        <w:rPr>
          <w:rFonts w:ascii="Verdana" w:hAnsi="Verdana"/>
          <w:b/>
          <w:bCs/>
        </w:rPr>
        <w:t>ristrutturazioni e riqualificazioni di edifici</w:t>
      </w:r>
      <w:r w:rsidRPr="00BF79BA">
        <w:rPr>
          <w:rFonts w:ascii="Verdana" w:hAnsi="Verdana"/>
        </w:rPr>
        <w:t>, è necessario prendere in considerazione almeno uno dei seguenti criteri di ammissibilità:</w:t>
      </w:r>
    </w:p>
    <w:p w14:paraId="1CCC2AC6" w14:textId="77777777" w:rsidR="00FF4022" w:rsidRPr="00BF79BA" w:rsidRDefault="00FF4022" w:rsidP="00FF4022">
      <w:pPr>
        <w:pStyle w:val="Paragrafoelenco"/>
        <w:numPr>
          <w:ilvl w:val="3"/>
          <w:numId w:val="11"/>
        </w:numPr>
        <w:spacing w:line="276" w:lineRule="auto"/>
        <w:ind w:left="2268" w:hanging="283"/>
        <w:jc w:val="both"/>
        <w:rPr>
          <w:rFonts w:ascii="Verdana" w:hAnsi="Verdana"/>
        </w:rPr>
      </w:pPr>
      <w:r w:rsidRPr="00BF79BA">
        <w:rPr>
          <w:rFonts w:ascii="Verdana" w:hAnsi="Verdana"/>
        </w:rPr>
        <w:lastRenderedPageBreak/>
        <w:t>ristrutturazione importante</w:t>
      </w:r>
      <w:r w:rsidRPr="00BF79BA">
        <w:rPr>
          <w:rStyle w:val="Rimandonotaapidipagina"/>
          <w:rFonts w:ascii="Verdana" w:hAnsi="Verdana"/>
        </w:rPr>
        <w:footnoteReference w:id="1"/>
      </w:r>
      <w:r w:rsidRPr="00BF79BA">
        <w:rPr>
          <w:rFonts w:ascii="Verdana" w:hAnsi="Verdana"/>
        </w:rPr>
        <w:t xml:space="preserve"> (corrispondente a ristrutturazione importante primo livello e secondo livello) e demolizione e ricostruzione: la ristrutturazione è conforme ai requisiti stabiliti nei regolamenti edilizi applicabili per la “ristrutturazione importante” che recepiscono la direttiva sul rendimento energetico degli edifici (EPBD);</w:t>
      </w:r>
    </w:p>
    <w:p w14:paraId="5F91BEA0" w14:textId="77777777" w:rsidR="00FF4022" w:rsidRDefault="00FF4022" w:rsidP="00FF4022">
      <w:pPr>
        <w:pStyle w:val="Paragrafoelenco"/>
        <w:numPr>
          <w:ilvl w:val="3"/>
          <w:numId w:val="11"/>
        </w:numPr>
        <w:spacing w:line="276" w:lineRule="auto"/>
        <w:ind w:left="2268" w:hanging="283"/>
        <w:jc w:val="both"/>
        <w:rPr>
          <w:rFonts w:ascii="Verdana" w:hAnsi="Verdana"/>
        </w:rPr>
      </w:pPr>
      <w:r w:rsidRPr="00BF79BA">
        <w:rPr>
          <w:rFonts w:ascii="Verdana" w:hAnsi="Verdana"/>
        </w:rPr>
        <w:t>miglioramento relativo (corrispondente a riqualificazione energetica e/o ristrutturazione importante di secondo livello e/o servizio energia con obiettivo fissato di risparmio energetico): la ristrutturazione deve consentire un risparmio nel fabbisogno di energia primaria globale tra il 20 ed il 40% rispetto al rendimento dell’edificio prima della ristrutturazione</w:t>
      </w:r>
      <w:r w:rsidRPr="00BF79BA">
        <w:rPr>
          <w:rStyle w:val="Rimandonotaapidipagina"/>
          <w:rFonts w:ascii="Verdana" w:hAnsi="Verdana"/>
        </w:rPr>
        <w:footnoteReference w:id="2"/>
      </w:r>
      <w:r w:rsidRPr="00BF79BA">
        <w:rPr>
          <w:rFonts w:ascii="Verdana" w:hAnsi="Verdana"/>
        </w:rPr>
        <w:t xml:space="preserve"> o della riqualificazione</w:t>
      </w:r>
      <w:r>
        <w:rPr>
          <w:rFonts w:ascii="Verdana" w:hAnsi="Verdana"/>
        </w:rPr>
        <w:t>;</w:t>
      </w:r>
    </w:p>
    <w:p w14:paraId="754AF203" w14:textId="77777777" w:rsidR="00FF4022" w:rsidRDefault="00FF4022" w:rsidP="00FF4022">
      <w:pPr>
        <w:pStyle w:val="Paragrafoelenco"/>
        <w:spacing w:line="276" w:lineRule="auto"/>
        <w:ind w:left="2268"/>
        <w:jc w:val="both"/>
        <w:rPr>
          <w:rFonts w:ascii="Verdana" w:hAnsi="Verdana"/>
        </w:rPr>
      </w:pPr>
    </w:p>
    <w:p w14:paraId="573360E3" w14:textId="77777777" w:rsidR="00FF4022" w:rsidRPr="00810D9A" w:rsidRDefault="00FF4022" w:rsidP="00FF4022">
      <w:pPr>
        <w:pStyle w:val="Paragrafoelenco"/>
        <w:numPr>
          <w:ilvl w:val="0"/>
          <w:numId w:val="11"/>
        </w:numPr>
        <w:spacing w:line="276" w:lineRule="auto"/>
        <w:ind w:left="1276"/>
        <w:jc w:val="both"/>
        <w:rPr>
          <w:rFonts w:ascii="Verdana" w:hAnsi="Verdana"/>
        </w:rPr>
      </w:pPr>
      <w:r w:rsidRPr="00810D9A">
        <w:rPr>
          <w:rFonts w:ascii="Verdana" w:hAnsi="Verdana"/>
        </w:rPr>
        <w:t xml:space="preserve">per interventi che prevedano </w:t>
      </w:r>
      <w:r w:rsidRPr="00810D9A">
        <w:rPr>
          <w:rFonts w:ascii="Verdana" w:hAnsi="Verdana"/>
          <w:u w:val="single"/>
        </w:rPr>
        <w:t>l’acquisto di veicoli</w:t>
      </w:r>
      <w:r w:rsidRPr="00810D9A">
        <w:rPr>
          <w:rFonts w:ascii="Verdana" w:hAnsi="Verdana"/>
        </w:rPr>
        <w:t>, rientranti nella definizione di cui all’art. 15.5, lettera g) del DM 13.06.2022, è necessario fare riferimento ai contenuti della Scheda n. 9 della circolare MEF 32/2021, laddove applicabile, a seconda della categoria di veicoli previsti nel programma di investimenti.</w:t>
      </w:r>
    </w:p>
    <w:p w14:paraId="5842F644" w14:textId="7387CBD4" w:rsidR="00FD3231" w:rsidRPr="00FF4022" w:rsidRDefault="00FD3231" w:rsidP="004B16C8">
      <w:pPr>
        <w:spacing w:before="120" w:after="120" w:line="276" w:lineRule="auto"/>
        <w:jc w:val="both"/>
        <w:rPr>
          <w:rFonts w:ascii="Verdana" w:hAnsi="Verdana" w:cstheme="minorHAnsi"/>
          <w:spacing w:val="-2"/>
        </w:rPr>
      </w:pPr>
      <w:r w:rsidRPr="00810D9A">
        <w:rPr>
          <w:rFonts w:ascii="Verdana" w:hAnsi="Verdana" w:cstheme="minorHAnsi"/>
          <w:spacing w:val="-2"/>
        </w:rPr>
        <w:t xml:space="preserve">Riguardo i restanti cinque obiettivi ambientali, qualora pertinenti, si dovrà quindi </w:t>
      </w:r>
      <w:r w:rsidRPr="00FF4022">
        <w:rPr>
          <w:rFonts w:ascii="Verdana" w:hAnsi="Verdana" w:cstheme="minorHAnsi"/>
          <w:spacing w:val="-2"/>
        </w:rPr>
        <w:t>dimostrare la sola assenza di danno significativo. A tal fine, sarà necessario fornire le informazioni minime, riportate</w:t>
      </w:r>
      <w:r w:rsidR="00F350F5" w:rsidRPr="00FF4022">
        <w:rPr>
          <w:rFonts w:ascii="Verdana" w:hAnsi="Verdana" w:cstheme="minorHAnsi"/>
          <w:spacing w:val="-2"/>
        </w:rPr>
        <w:t xml:space="preserve"> sinteticamente</w:t>
      </w:r>
      <w:r w:rsidRPr="00FF4022">
        <w:rPr>
          <w:rFonts w:ascii="Verdana" w:hAnsi="Verdana" w:cstheme="minorHAnsi"/>
          <w:spacing w:val="-2"/>
        </w:rPr>
        <w:t xml:space="preserve"> ai punti successivi, di cui </w:t>
      </w:r>
      <w:r w:rsidR="00F350F5" w:rsidRPr="00FF4022">
        <w:rPr>
          <w:rFonts w:ascii="Verdana" w:hAnsi="Verdana" w:cstheme="minorHAnsi"/>
          <w:spacing w:val="-2"/>
        </w:rPr>
        <w:t>più specificamente alle</w:t>
      </w:r>
      <w:r w:rsidRPr="00FF4022">
        <w:rPr>
          <w:rFonts w:ascii="Verdana" w:hAnsi="Verdana" w:cstheme="minorHAnsi"/>
          <w:spacing w:val="-2"/>
        </w:rPr>
        <w:t xml:space="preserve"> Schede allegate alla Circolare MEF 32/2021 come indicate in Tabella 2.</w:t>
      </w:r>
    </w:p>
    <w:p w14:paraId="4FE95761" w14:textId="77777777" w:rsidR="004C683E" w:rsidRPr="00FF4022" w:rsidRDefault="004C683E" w:rsidP="004B16C8">
      <w:pPr>
        <w:spacing w:before="120" w:after="120" w:line="276" w:lineRule="auto"/>
        <w:jc w:val="both"/>
        <w:rPr>
          <w:rFonts w:ascii="Verdana" w:hAnsi="Verdana" w:cstheme="minorHAnsi"/>
          <w:i/>
          <w:iCs/>
          <w:sz w:val="22"/>
          <w:szCs w:val="22"/>
        </w:rPr>
      </w:pPr>
    </w:p>
    <w:p w14:paraId="760FA4DD" w14:textId="63C355D6" w:rsidR="00805F49" w:rsidRPr="00FF4022" w:rsidRDefault="00D32D15" w:rsidP="004B16C8">
      <w:pPr>
        <w:spacing w:before="120" w:after="120" w:line="276" w:lineRule="auto"/>
        <w:jc w:val="both"/>
        <w:rPr>
          <w:rFonts w:ascii="Verdana" w:hAnsi="Verdana" w:cstheme="minorHAnsi"/>
          <w:b/>
          <w:bCs/>
          <w:sz w:val="22"/>
          <w:szCs w:val="22"/>
        </w:rPr>
      </w:pPr>
      <w:r w:rsidRPr="00FF4022">
        <w:rPr>
          <w:rFonts w:ascii="Verdana" w:hAnsi="Verdana" w:cstheme="minorHAnsi"/>
          <w:b/>
          <w:bCs/>
          <w:sz w:val="22"/>
          <w:szCs w:val="22"/>
        </w:rPr>
        <w:t xml:space="preserve">3.2 </w:t>
      </w:r>
      <w:r w:rsidR="00805F49" w:rsidRPr="00FF4022">
        <w:rPr>
          <w:rFonts w:ascii="Verdana" w:hAnsi="Verdana" w:cstheme="minorHAnsi"/>
          <w:b/>
          <w:bCs/>
          <w:sz w:val="22"/>
          <w:szCs w:val="22"/>
        </w:rPr>
        <w:t>Valutazione LCA</w:t>
      </w:r>
    </w:p>
    <w:p w14:paraId="735DDE7C" w14:textId="14A9FD85" w:rsidR="00E772DB" w:rsidRPr="00FF4022" w:rsidRDefault="00FF2605" w:rsidP="004B16C8">
      <w:pPr>
        <w:spacing w:before="120" w:after="120" w:line="276" w:lineRule="auto"/>
        <w:jc w:val="both"/>
        <w:rPr>
          <w:rFonts w:ascii="Verdana" w:hAnsi="Verdana" w:cstheme="minorHAnsi"/>
        </w:rPr>
      </w:pPr>
      <w:r w:rsidRPr="00FF4022">
        <w:rPr>
          <w:rFonts w:ascii="Verdana" w:hAnsi="Verdana" w:cstheme="minorHAnsi"/>
        </w:rPr>
        <w:t xml:space="preserve">Fornire analisi LCA </w:t>
      </w:r>
      <w:r w:rsidR="00834DEF" w:rsidRPr="00FF4022">
        <w:rPr>
          <w:rFonts w:ascii="Verdana" w:hAnsi="Verdana" w:cstheme="minorHAnsi"/>
        </w:rPr>
        <w:t>(</w:t>
      </w:r>
      <w:r w:rsidR="00834DEF" w:rsidRPr="00FF4022">
        <w:rPr>
          <w:rFonts w:ascii="Verdana" w:hAnsi="Verdana" w:cstheme="minorHAnsi"/>
          <w:i/>
          <w:iCs/>
        </w:rPr>
        <w:t xml:space="preserve">Life </w:t>
      </w:r>
      <w:proofErr w:type="spellStart"/>
      <w:r w:rsidR="00834DEF" w:rsidRPr="00FF4022">
        <w:rPr>
          <w:rFonts w:ascii="Verdana" w:hAnsi="Verdana" w:cstheme="minorHAnsi"/>
          <w:i/>
          <w:iCs/>
        </w:rPr>
        <w:t>Cycle</w:t>
      </w:r>
      <w:proofErr w:type="spellEnd"/>
      <w:r w:rsidR="00834DEF" w:rsidRPr="00FF4022">
        <w:rPr>
          <w:rFonts w:ascii="Verdana" w:hAnsi="Verdana" w:cstheme="minorHAnsi"/>
          <w:i/>
          <w:iCs/>
        </w:rPr>
        <w:t xml:space="preserve"> </w:t>
      </w:r>
      <w:proofErr w:type="spellStart"/>
      <w:r w:rsidR="00834DEF" w:rsidRPr="00FF4022">
        <w:rPr>
          <w:rFonts w:ascii="Verdana" w:hAnsi="Verdana" w:cstheme="minorHAnsi"/>
          <w:i/>
          <w:iCs/>
        </w:rPr>
        <w:t>Assessment</w:t>
      </w:r>
      <w:proofErr w:type="spellEnd"/>
      <w:r w:rsidR="00834DEF" w:rsidRPr="00FF4022">
        <w:rPr>
          <w:rFonts w:ascii="Verdana" w:hAnsi="Verdana" w:cstheme="minorHAnsi"/>
        </w:rPr>
        <w:t xml:space="preserve">) </w:t>
      </w:r>
      <w:r w:rsidRPr="00FF4022">
        <w:rPr>
          <w:rFonts w:ascii="Verdana" w:hAnsi="Verdana" w:cstheme="minorHAnsi"/>
        </w:rPr>
        <w:t xml:space="preserve">nell’ipotesi in cui l’effetto sull’obiettivo ambientale </w:t>
      </w:r>
      <w:r w:rsidR="00834DEF" w:rsidRPr="00FF4022">
        <w:rPr>
          <w:rFonts w:ascii="Verdana" w:hAnsi="Verdana" w:cstheme="minorHAnsi"/>
        </w:rPr>
        <w:t>sia</w:t>
      </w:r>
      <w:r w:rsidRPr="00FF4022">
        <w:rPr>
          <w:rFonts w:ascii="Verdana" w:hAnsi="Verdana" w:cstheme="minorHAnsi"/>
        </w:rPr>
        <w:t xml:space="preserve"> riferibile </w:t>
      </w:r>
      <w:r w:rsidR="00BE72AA" w:rsidRPr="00FF4022">
        <w:rPr>
          <w:rFonts w:ascii="Verdana" w:hAnsi="Verdana" w:cstheme="minorHAnsi"/>
        </w:rPr>
        <w:t xml:space="preserve">principalmente al prodotto e non al processo produttivo (Es. </w:t>
      </w:r>
      <w:r w:rsidR="00045B70" w:rsidRPr="00FF4022">
        <w:rPr>
          <w:rFonts w:ascii="Verdana" w:hAnsi="Verdana" w:cstheme="minorHAnsi"/>
        </w:rPr>
        <w:t>LCA</w:t>
      </w:r>
      <w:r w:rsidR="00BE72AA" w:rsidRPr="00FF4022">
        <w:rPr>
          <w:rFonts w:ascii="Verdana" w:hAnsi="Verdana" w:cstheme="minorHAnsi"/>
        </w:rPr>
        <w:t xml:space="preserve"> “dalla culla alla tomba</w:t>
      </w:r>
      <w:r w:rsidR="008D79A1" w:rsidRPr="00FF4022">
        <w:rPr>
          <w:rFonts w:ascii="Verdana" w:hAnsi="Verdana" w:cstheme="minorHAnsi"/>
        </w:rPr>
        <w:t>”,</w:t>
      </w:r>
      <w:r w:rsidR="00BE72AA" w:rsidRPr="00FF4022">
        <w:rPr>
          <w:rFonts w:ascii="Verdana" w:hAnsi="Verdana" w:cstheme="minorHAnsi"/>
        </w:rPr>
        <w:t>)</w:t>
      </w:r>
      <w:r w:rsidR="004D435E" w:rsidRPr="00FF4022">
        <w:rPr>
          <w:rFonts w:ascii="Verdana" w:hAnsi="Verdana" w:cstheme="minorHAnsi"/>
        </w:rPr>
        <w:t xml:space="preserve"> </w:t>
      </w:r>
      <w:r w:rsidR="00436B73" w:rsidRPr="00FF4022">
        <w:rPr>
          <w:rFonts w:ascii="Verdana" w:hAnsi="Verdana" w:cstheme="minorHAnsi"/>
        </w:rPr>
        <w:t>e/</w:t>
      </w:r>
      <w:r w:rsidR="004D435E" w:rsidRPr="00FF4022">
        <w:rPr>
          <w:rFonts w:ascii="Verdana" w:hAnsi="Verdana" w:cstheme="minorHAnsi"/>
        </w:rPr>
        <w:t xml:space="preserve">o </w:t>
      </w:r>
      <w:r w:rsidR="00B43667" w:rsidRPr="00FF4022">
        <w:rPr>
          <w:rFonts w:ascii="Verdana" w:hAnsi="Verdana" w:cstheme="minorHAnsi"/>
        </w:rPr>
        <w:t xml:space="preserve">fornire evidenza </w:t>
      </w:r>
      <w:r w:rsidR="001E26B9" w:rsidRPr="00FF4022">
        <w:rPr>
          <w:rFonts w:ascii="Verdana" w:hAnsi="Verdana" w:cstheme="minorHAnsi"/>
        </w:rPr>
        <w:t>del rispetto degli</w:t>
      </w:r>
      <w:r w:rsidR="00600C72" w:rsidRPr="00FF4022">
        <w:rPr>
          <w:rFonts w:ascii="Verdana" w:hAnsi="Verdana" w:cstheme="minorHAnsi"/>
        </w:rPr>
        <w:t xml:space="preserve"> standard </w:t>
      </w:r>
      <w:r w:rsidR="00261717" w:rsidRPr="00FF4022">
        <w:rPr>
          <w:rFonts w:ascii="Verdana" w:hAnsi="Verdana" w:cstheme="minorHAnsi"/>
        </w:rPr>
        <w:t xml:space="preserve">UNI EN </w:t>
      </w:r>
      <w:r w:rsidR="00600C72" w:rsidRPr="00FF4022">
        <w:rPr>
          <w:rFonts w:ascii="Verdana" w:hAnsi="Verdana" w:cstheme="minorHAnsi"/>
        </w:rPr>
        <w:t xml:space="preserve">ISO </w:t>
      </w:r>
      <w:r w:rsidR="00261717" w:rsidRPr="00FF4022">
        <w:rPr>
          <w:rFonts w:ascii="Verdana" w:hAnsi="Verdana" w:cstheme="minorHAnsi"/>
        </w:rPr>
        <w:t>di riferimento (</w:t>
      </w:r>
      <w:r w:rsidR="008E67C8" w:rsidRPr="00FF4022">
        <w:rPr>
          <w:rFonts w:ascii="Verdana" w:hAnsi="Verdana" w:cstheme="minorHAnsi"/>
        </w:rPr>
        <w:t xml:space="preserve">ed esempio </w:t>
      </w:r>
      <w:r w:rsidR="001C4135" w:rsidRPr="00FF4022">
        <w:rPr>
          <w:rFonts w:ascii="Verdana" w:hAnsi="Verdana" w:cstheme="minorHAnsi"/>
        </w:rPr>
        <w:t xml:space="preserve">14025, </w:t>
      </w:r>
      <w:r w:rsidR="00261717" w:rsidRPr="00FF4022">
        <w:rPr>
          <w:rFonts w:ascii="Verdana" w:hAnsi="Verdana" w:cstheme="minorHAnsi"/>
        </w:rPr>
        <w:t>14040, 14044).</w:t>
      </w:r>
    </w:p>
    <w:p w14:paraId="28A7307B" w14:textId="77777777" w:rsidR="00D32D15" w:rsidRPr="00FF4022" w:rsidRDefault="00D32D15" w:rsidP="004B16C8">
      <w:pPr>
        <w:spacing w:line="276" w:lineRule="auto"/>
        <w:jc w:val="both"/>
        <w:rPr>
          <w:rFonts w:ascii="Verdana" w:hAnsi="Verdana" w:cstheme="minorHAnsi"/>
          <w:i/>
          <w:iCs/>
          <w:sz w:val="22"/>
          <w:szCs w:val="22"/>
        </w:rPr>
      </w:pPr>
    </w:p>
    <w:p w14:paraId="067DE3F6" w14:textId="2917FEFD" w:rsidR="00F33740" w:rsidRPr="00FF4022" w:rsidRDefault="00D32D15" w:rsidP="004B16C8">
      <w:pPr>
        <w:spacing w:before="120" w:after="120" w:line="276" w:lineRule="auto"/>
        <w:jc w:val="both"/>
        <w:rPr>
          <w:rFonts w:ascii="Verdana" w:hAnsi="Verdana" w:cstheme="minorHAnsi"/>
          <w:b/>
          <w:bCs/>
          <w:sz w:val="22"/>
          <w:szCs w:val="22"/>
        </w:rPr>
      </w:pPr>
      <w:r w:rsidRPr="00FF4022">
        <w:rPr>
          <w:rFonts w:ascii="Verdana" w:hAnsi="Verdana" w:cstheme="minorHAnsi"/>
          <w:b/>
          <w:bCs/>
          <w:sz w:val="22"/>
          <w:szCs w:val="22"/>
        </w:rPr>
        <w:t xml:space="preserve">3.3 </w:t>
      </w:r>
      <w:r w:rsidR="00A31388" w:rsidRPr="00FF4022">
        <w:rPr>
          <w:rFonts w:ascii="Verdana" w:hAnsi="Verdana" w:cstheme="minorHAnsi"/>
          <w:b/>
          <w:bCs/>
          <w:sz w:val="22"/>
          <w:szCs w:val="22"/>
        </w:rPr>
        <w:t>Conformità al principio DNSH</w:t>
      </w:r>
    </w:p>
    <w:p w14:paraId="34DB52B8" w14:textId="586F8D1D" w:rsidR="00A51E89" w:rsidRPr="00FF4022" w:rsidRDefault="00A31388" w:rsidP="004B16C8">
      <w:pPr>
        <w:spacing w:line="276" w:lineRule="auto"/>
        <w:jc w:val="both"/>
        <w:rPr>
          <w:rFonts w:ascii="Verdana" w:hAnsi="Verdana" w:cstheme="minorHAnsi"/>
          <w:i/>
          <w:iCs/>
        </w:rPr>
      </w:pPr>
      <w:r w:rsidRPr="00FF4022">
        <w:rPr>
          <w:rFonts w:ascii="Verdana" w:hAnsi="Verdana" w:cstheme="minorHAnsi"/>
          <w:i/>
          <w:iCs/>
        </w:rPr>
        <w:t>Di seguito, per ciascuno degli obiettivi ambientali, sono forniti e</w:t>
      </w:r>
      <w:r w:rsidR="00A51E89" w:rsidRPr="00FF4022">
        <w:rPr>
          <w:rFonts w:ascii="Verdana" w:hAnsi="Verdana" w:cstheme="minorHAnsi"/>
          <w:i/>
          <w:iCs/>
        </w:rPr>
        <w:t>sempi di cui ai contenuti minimi delle Schede allegate alla Circolare MEF 32/2021 come indicate in Tabella 2.</w:t>
      </w:r>
      <w:r w:rsidR="00CF51F0" w:rsidRPr="00FF4022">
        <w:rPr>
          <w:rFonts w:ascii="Verdana" w:hAnsi="Verdana" w:cstheme="minorHAnsi"/>
          <w:i/>
          <w:iCs/>
        </w:rPr>
        <w:t xml:space="preserve"> </w:t>
      </w:r>
    </w:p>
    <w:p w14:paraId="22AC7BEE" w14:textId="77777777" w:rsidR="00AD162A" w:rsidRPr="00FF4022" w:rsidRDefault="00AD162A" w:rsidP="004B16C8">
      <w:pPr>
        <w:spacing w:line="276" w:lineRule="auto"/>
        <w:jc w:val="both"/>
        <w:rPr>
          <w:rFonts w:ascii="Verdana" w:hAnsi="Verdana" w:cstheme="minorHAnsi"/>
          <w:b/>
          <w:bCs/>
          <w:i/>
          <w:iCs/>
          <w:sz w:val="22"/>
          <w:szCs w:val="22"/>
        </w:rPr>
      </w:pPr>
    </w:p>
    <w:p w14:paraId="0EC444C5" w14:textId="7E5D3099" w:rsidR="00AC3A1D" w:rsidRPr="00FF4022" w:rsidRDefault="00BE72AA"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3</w:t>
      </w:r>
      <w:r w:rsidR="00AB655B" w:rsidRPr="00FF4022">
        <w:rPr>
          <w:rFonts w:ascii="Verdana" w:hAnsi="Verdana" w:cstheme="minorHAnsi"/>
          <w:b/>
          <w:bCs/>
          <w:sz w:val="22"/>
          <w:szCs w:val="22"/>
        </w:rPr>
        <w:t>.</w:t>
      </w:r>
      <w:r w:rsidR="00D32D15" w:rsidRPr="00FF4022">
        <w:rPr>
          <w:rFonts w:ascii="Verdana" w:hAnsi="Verdana" w:cstheme="minorHAnsi"/>
          <w:b/>
          <w:bCs/>
          <w:sz w:val="22"/>
          <w:szCs w:val="22"/>
        </w:rPr>
        <w:t>3.</w:t>
      </w:r>
      <w:r w:rsidR="00512323" w:rsidRPr="00FF4022">
        <w:rPr>
          <w:rFonts w:ascii="Verdana" w:hAnsi="Verdana" w:cstheme="minorHAnsi"/>
          <w:b/>
          <w:bCs/>
          <w:sz w:val="22"/>
          <w:szCs w:val="22"/>
        </w:rPr>
        <w:t>1</w:t>
      </w:r>
      <w:r w:rsidR="00AB655B" w:rsidRPr="00FF4022">
        <w:rPr>
          <w:rFonts w:ascii="Verdana" w:hAnsi="Verdana" w:cstheme="minorHAnsi"/>
          <w:b/>
          <w:bCs/>
          <w:sz w:val="22"/>
          <w:szCs w:val="22"/>
        </w:rPr>
        <w:t xml:space="preserve"> -</w:t>
      </w:r>
      <w:r w:rsidR="00512323" w:rsidRPr="00FF4022">
        <w:rPr>
          <w:rFonts w:ascii="Verdana" w:hAnsi="Verdana" w:cstheme="minorHAnsi"/>
          <w:b/>
          <w:bCs/>
          <w:sz w:val="22"/>
          <w:szCs w:val="22"/>
        </w:rPr>
        <w:t xml:space="preserve"> </w:t>
      </w:r>
      <w:r w:rsidR="00724F5C" w:rsidRPr="00FF4022">
        <w:rPr>
          <w:rFonts w:ascii="Verdana" w:hAnsi="Verdana" w:cstheme="minorHAnsi"/>
          <w:b/>
          <w:bCs/>
          <w:sz w:val="22"/>
          <w:szCs w:val="22"/>
        </w:rPr>
        <w:t>Mitigazione dei cambiamenti climatici</w:t>
      </w:r>
    </w:p>
    <w:p w14:paraId="57C9BA08" w14:textId="77777777" w:rsidR="00AC3A1D" w:rsidRPr="00FF4022" w:rsidRDefault="00AC3A1D" w:rsidP="004B16C8">
      <w:pPr>
        <w:spacing w:line="276" w:lineRule="auto"/>
        <w:jc w:val="both"/>
        <w:rPr>
          <w:rFonts w:ascii="Verdana" w:hAnsi="Verdana" w:cstheme="minorHAnsi"/>
          <w:i/>
          <w:iCs/>
          <w:sz w:val="22"/>
          <w:szCs w:val="22"/>
        </w:rPr>
      </w:pPr>
    </w:p>
    <w:p w14:paraId="617457A0" w14:textId="77777777" w:rsidR="00766D5C" w:rsidRPr="005207EB" w:rsidRDefault="00286423" w:rsidP="004B16C8">
      <w:pPr>
        <w:autoSpaceDE w:val="0"/>
        <w:autoSpaceDN w:val="0"/>
        <w:adjustRightInd w:val="0"/>
        <w:jc w:val="both"/>
        <w:rPr>
          <w:rFonts w:ascii="Verdana" w:hAnsi="Verdana" w:cstheme="minorHAnsi"/>
        </w:rPr>
      </w:pPr>
      <w:r w:rsidRPr="005207EB">
        <w:rPr>
          <w:rFonts w:ascii="Verdana" w:hAnsi="Verdana" w:cstheme="minorHAnsi"/>
        </w:rPr>
        <w:t xml:space="preserve">Scheda 2 - Ristrutturazioni e riqualificazioni di edifici residenziali e non: </w:t>
      </w:r>
    </w:p>
    <w:p w14:paraId="68E1621D" w14:textId="1DF1D490" w:rsidR="00766D5C" w:rsidRPr="005207EB" w:rsidRDefault="00766D5C" w:rsidP="004B16C8">
      <w:pPr>
        <w:autoSpaceDE w:val="0"/>
        <w:autoSpaceDN w:val="0"/>
        <w:adjustRightInd w:val="0"/>
        <w:jc w:val="both"/>
        <w:rPr>
          <w:rFonts w:ascii="Verdana" w:hAnsi="Verdana" w:cstheme="minorHAnsi"/>
        </w:rPr>
      </w:pPr>
      <w:r w:rsidRPr="005207EB">
        <w:rPr>
          <w:rFonts w:ascii="Verdana" w:hAnsi="Verdana" w:cstheme="minorHAnsi"/>
        </w:rPr>
        <w:t>Una ristrutturazione o una riqualificazione è ammissibile a finanziamento quando soddisfa una delle seguenti soglie:</w:t>
      </w:r>
    </w:p>
    <w:p w14:paraId="660D8984" w14:textId="043D50B6" w:rsidR="00766D5C" w:rsidRPr="005207EB" w:rsidRDefault="00766D5C" w:rsidP="004B16C8">
      <w:pPr>
        <w:pStyle w:val="Paragrafoelenco"/>
        <w:numPr>
          <w:ilvl w:val="0"/>
          <w:numId w:val="12"/>
        </w:numPr>
        <w:autoSpaceDE w:val="0"/>
        <w:autoSpaceDN w:val="0"/>
        <w:adjustRightInd w:val="0"/>
        <w:jc w:val="both"/>
        <w:rPr>
          <w:rFonts w:ascii="Verdana" w:hAnsi="Verdana" w:cstheme="minorHAnsi"/>
        </w:rPr>
      </w:pPr>
      <w:r w:rsidRPr="005207EB">
        <w:rPr>
          <w:rFonts w:ascii="Verdana" w:hAnsi="Verdana" w:cstheme="minorHAnsi"/>
        </w:rPr>
        <w:t>Ristrutturazione importante (corrispondente a ristrutturazione importante di primo livello e secondo livello) e demolizione e ricostruzione: la ristrutturazione è conforme ai requisiti stabiliti nei regolamenti edilizi applicabili per la "ristrutturazione importante" che recepiscono la direttiva sul rendimento energetico degli edifici (EPBD);</w:t>
      </w:r>
    </w:p>
    <w:p w14:paraId="56462A0D" w14:textId="7ECC750A" w:rsidR="00286423" w:rsidRPr="005207EB" w:rsidRDefault="00766D5C" w:rsidP="004B16C8">
      <w:pPr>
        <w:pStyle w:val="Paragrafoelenco"/>
        <w:numPr>
          <w:ilvl w:val="0"/>
          <w:numId w:val="12"/>
        </w:numPr>
        <w:autoSpaceDE w:val="0"/>
        <w:autoSpaceDN w:val="0"/>
        <w:adjustRightInd w:val="0"/>
        <w:jc w:val="both"/>
        <w:rPr>
          <w:rFonts w:ascii="Verdana" w:hAnsi="Verdana" w:cstheme="minorHAnsi"/>
        </w:rPr>
      </w:pPr>
      <w:r w:rsidRPr="005207EB">
        <w:rPr>
          <w:rFonts w:ascii="Verdana" w:hAnsi="Verdana" w:cstheme="minorHAnsi"/>
        </w:rPr>
        <w:t xml:space="preserve">Miglioramento relativo (corrispondente a riqualificazione energetica e/o ristrutturazione importante di secondo livello e/o servizio energia con obiettivo fissato di risparmio energetico): la ristrutturazione deve consentire un risparmio nel fabbisogno di energia primaria globale tra </w:t>
      </w:r>
      <w:r w:rsidRPr="005207EB">
        <w:rPr>
          <w:rFonts w:ascii="Verdana" w:hAnsi="Verdana" w:cstheme="minorHAnsi"/>
        </w:rPr>
        <w:lastRenderedPageBreak/>
        <w:t>il 20 ed il 40 % rispetto al rendimento dell'edificio prima della ristrutturazione o della riqualificazione.</w:t>
      </w:r>
    </w:p>
    <w:p w14:paraId="6214CC55" w14:textId="07BFBB49" w:rsidR="007C2F96" w:rsidRPr="005207EB" w:rsidRDefault="007C2F96" w:rsidP="004B16C8">
      <w:pPr>
        <w:spacing w:line="276" w:lineRule="auto"/>
        <w:jc w:val="both"/>
        <w:rPr>
          <w:rFonts w:ascii="Verdana" w:hAnsi="Verdana" w:cstheme="minorHAnsi"/>
        </w:rPr>
      </w:pPr>
    </w:p>
    <w:p w14:paraId="49116218" w14:textId="774C3865" w:rsidR="00450060" w:rsidRPr="005207EB" w:rsidRDefault="00450060" w:rsidP="004B16C8">
      <w:pPr>
        <w:autoSpaceDE w:val="0"/>
        <w:autoSpaceDN w:val="0"/>
        <w:adjustRightInd w:val="0"/>
        <w:jc w:val="both"/>
        <w:rPr>
          <w:rFonts w:ascii="Verdana" w:hAnsi="Verdana" w:cstheme="minorHAnsi"/>
        </w:rPr>
      </w:pPr>
      <w:r w:rsidRPr="005207EB">
        <w:rPr>
          <w:rFonts w:ascii="Verdana" w:hAnsi="Verdana" w:cstheme="minorHAnsi"/>
        </w:rPr>
        <w:t xml:space="preserve">Scheda 9 </w:t>
      </w:r>
      <w:r w:rsidR="00984CBE" w:rsidRPr="005207EB">
        <w:rPr>
          <w:rFonts w:ascii="Verdana" w:hAnsi="Verdana" w:cstheme="minorHAnsi"/>
        </w:rPr>
        <w:t>–</w:t>
      </w:r>
      <w:r w:rsidRPr="005207EB">
        <w:rPr>
          <w:rFonts w:ascii="Verdana" w:hAnsi="Verdana" w:cstheme="minorHAnsi"/>
        </w:rPr>
        <w:t xml:space="preserve"> </w:t>
      </w:r>
      <w:r w:rsidR="00984CBE" w:rsidRPr="005207EB">
        <w:rPr>
          <w:rFonts w:ascii="Verdana" w:hAnsi="Verdana" w:cstheme="minorHAnsi"/>
        </w:rPr>
        <w:t>Acquisto di veicoli</w:t>
      </w:r>
      <w:r w:rsidR="00941EB3" w:rsidRPr="005207EB">
        <w:rPr>
          <w:rFonts w:ascii="Verdana" w:hAnsi="Verdana" w:cstheme="minorHAnsi"/>
        </w:rPr>
        <w:t xml:space="preserve">: Al fine di garantire il rispetto del principio DNSH connesso con la mitigazione dei cambiamenti climatici e la significativa riduzione di emissioni di gas a effetto serra, dovranno essere adottate tutte le strategie disponibili per </w:t>
      </w:r>
      <w:r w:rsidR="00941EB3" w:rsidRPr="005207EB">
        <w:rPr>
          <w:rFonts w:ascii="Verdana" w:eastAsia="TimesNewRomanPSMT" w:hAnsi="Verdana" w:cstheme="minorHAnsi"/>
        </w:rPr>
        <w:t xml:space="preserve">l’acquisto </w:t>
      </w:r>
      <w:r w:rsidR="00941EB3" w:rsidRPr="005207EB">
        <w:rPr>
          <w:rFonts w:ascii="Verdana" w:hAnsi="Verdana" w:cstheme="minorHAnsi"/>
        </w:rPr>
        <w:t xml:space="preserve">di veicoli in linea con </w:t>
      </w:r>
      <w:r w:rsidR="00941EB3" w:rsidRPr="005207EB">
        <w:rPr>
          <w:rFonts w:ascii="Verdana" w:eastAsia="TimesNewRomanPSMT" w:hAnsi="Verdana" w:cstheme="minorHAnsi"/>
        </w:rPr>
        <w:t xml:space="preserve">l’obiettivo </w:t>
      </w:r>
      <w:r w:rsidR="00941EB3" w:rsidRPr="005207EB">
        <w:rPr>
          <w:rFonts w:ascii="Verdana" w:hAnsi="Verdana" w:cstheme="minorHAnsi"/>
        </w:rPr>
        <w:t>di contenere le emissioni GHG.</w:t>
      </w:r>
    </w:p>
    <w:p w14:paraId="0034B824" w14:textId="77777777" w:rsidR="0088717C" w:rsidRPr="00810D9A" w:rsidRDefault="0088717C" w:rsidP="00810D9A">
      <w:pPr>
        <w:spacing w:line="276" w:lineRule="auto"/>
        <w:jc w:val="both"/>
        <w:rPr>
          <w:rFonts w:ascii="Verdana" w:hAnsi="Verdana" w:cstheme="minorHAnsi"/>
          <w:sz w:val="22"/>
          <w:szCs w:val="22"/>
        </w:rPr>
      </w:pPr>
    </w:p>
    <w:p w14:paraId="2C793759" w14:textId="15B2527A" w:rsidR="00724F5C" w:rsidRPr="00FF4022" w:rsidRDefault="00BE72AA"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3</w:t>
      </w:r>
      <w:r w:rsidR="00AB655B" w:rsidRPr="00FF4022">
        <w:rPr>
          <w:rFonts w:ascii="Verdana" w:hAnsi="Verdana" w:cstheme="minorHAnsi"/>
          <w:b/>
          <w:bCs/>
          <w:sz w:val="22"/>
          <w:szCs w:val="22"/>
        </w:rPr>
        <w:t>.</w:t>
      </w:r>
      <w:r w:rsidR="00D32D15" w:rsidRPr="00FF4022">
        <w:rPr>
          <w:rFonts w:ascii="Verdana" w:hAnsi="Verdana" w:cstheme="minorHAnsi"/>
          <w:b/>
          <w:bCs/>
          <w:sz w:val="22"/>
          <w:szCs w:val="22"/>
        </w:rPr>
        <w:t>3.</w:t>
      </w:r>
      <w:r w:rsidR="00724F5C" w:rsidRPr="00FF4022">
        <w:rPr>
          <w:rFonts w:ascii="Verdana" w:hAnsi="Verdana" w:cstheme="minorHAnsi"/>
          <w:b/>
          <w:bCs/>
          <w:sz w:val="22"/>
          <w:szCs w:val="22"/>
        </w:rPr>
        <w:t>2</w:t>
      </w:r>
      <w:r w:rsidR="00AB655B" w:rsidRPr="00FF4022">
        <w:rPr>
          <w:rFonts w:ascii="Verdana" w:hAnsi="Verdana" w:cstheme="minorHAnsi"/>
          <w:b/>
          <w:bCs/>
          <w:sz w:val="22"/>
          <w:szCs w:val="22"/>
        </w:rPr>
        <w:t xml:space="preserve"> -</w:t>
      </w:r>
      <w:r w:rsidR="00724F5C" w:rsidRPr="00FF4022">
        <w:rPr>
          <w:rFonts w:ascii="Verdana" w:hAnsi="Verdana" w:cstheme="minorHAnsi"/>
          <w:b/>
          <w:bCs/>
          <w:sz w:val="22"/>
          <w:szCs w:val="22"/>
        </w:rPr>
        <w:t xml:space="preserve"> Adattamento ai cambiamenti climatici</w:t>
      </w:r>
    </w:p>
    <w:p w14:paraId="659C70CC" w14:textId="77777777" w:rsidR="0080229B" w:rsidRPr="00FF4022" w:rsidRDefault="0080229B" w:rsidP="004B16C8">
      <w:pPr>
        <w:spacing w:line="276" w:lineRule="auto"/>
        <w:jc w:val="both"/>
        <w:rPr>
          <w:rFonts w:ascii="Verdana" w:hAnsi="Verdana" w:cstheme="minorHAnsi"/>
          <w:sz w:val="22"/>
          <w:szCs w:val="22"/>
        </w:rPr>
      </w:pPr>
    </w:p>
    <w:p w14:paraId="7B9B27FD" w14:textId="71E0D17B" w:rsidR="003D293C" w:rsidRPr="00810D9A" w:rsidRDefault="00DA670A" w:rsidP="004B16C8">
      <w:pPr>
        <w:spacing w:line="276" w:lineRule="auto"/>
        <w:jc w:val="both"/>
        <w:rPr>
          <w:rFonts w:ascii="Verdana" w:hAnsi="Verdana" w:cstheme="minorHAnsi"/>
        </w:rPr>
      </w:pPr>
      <w:r w:rsidRPr="00810D9A">
        <w:rPr>
          <w:rFonts w:ascii="Verdana" w:hAnsi="Verdana" w:cstheme="minorHAnsi"/>
        </w:rPr>
        <w:t>Sched</w:t>
      </w:r>
      <w:r w:rsidR="00163C57">
        <w:rPr>
          <w:rFonts w:ascii="Verdana" w:hAnsi="Verdana" w:cstheme="minorHAnsi"/>
        </w:rPr>
        <w:t>a</w:t>
      </w:r>
      <w:r w:rsidR="005207EB" w:rsidRPr="00810D9A">
        <w:rPr>
          <w:rFonts w:ascii="Verdana" w:hAnsi="Verdana" w:cstheme="minorHAnsi"/>
        </w:rPr>
        <w:t xml:space="preserve"> </w:t>
      </w:r>
      <w:r w:rsidRPr="00810D9A">
        <w:rPr>
          <w:rFonts w:ascii="Verdana" w:hAnsi="Verdana" w:cstheme="minorHAnsi"/>
        </w:rPr>
        <w:t xml:space="preserve">2 - </w:t>
      </w:r>
      <w:r w:rsidR="003D293C" w:rsidRPr="00810D9A">
        <w:rPr>
          <w:rFonts w:ascii="Verdana" w:hAnsi="Verdana" w:cstheme="minorHAnsi"/>
        </w:rPr>
        <w:t>Ristrutturazioni e riqualificazioni di edifici residenziali e non: valutazione del rischio climatico e della vulnerabilità con la quale identificare i rischi tra quelli elencati nella tabella nella Sezione II dell’Appendice A del Regolamento Delegato (UE) che integra il regolamento (UE) 2020/852 del Parlamento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w:t>
      </w:r>
    </w:p>
    <w:p w14:paraId="50A7FFFA" w14:textId="77777777" w:rsidR="005D6D75" w:rsidRPr="00FF4022" w:rsidRDefault="005D6D75" w:rsidP="004B16C8">
      <w:pPr>
        <w:spacing w:line="276" w:lineRule="auto"/>
        <w:jc w:val="both"/>
        <w:rPr>
          <w:rFonts w:ascii="Verdana" w:hAnsi="Verdana" w:cstheme="minorHAnsi"/>
          <w:b/>
          <w:bCs/>
          <w:sz w:val="22"/>
          <w:szCs w:val="22"/>
        </w:rPr>
      </w:pPr>
    </w:p>
    <w:p w14:paraId="414D2AB9" w14:textId="1D436920" w:rsidR="00724F5C" w:rsidRPr="00FF4022" w:rsidRDefault="00BE72AA"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3</w:t>
      </w:r>
      <w:r w:rsidR="00AB655B" w:rsidRPr="00FF4022">
        <w:rPr>
          <w:rFonts w:ascii="Verdana" w:hAnsi="Verdana" w:cstheme="minorHAnsi"/>
          <w:b/>
          <w:bCs/>
          <w:sz w:val="22"/>
          <w:szCs w:val="22"/>
        </w:rPr>
        <w:t>.</w:t>
      </w:r>
      <w:r w:rsidR="00724F5C" w:rsidRPr="00FF4022">
        <w:rPr>
          <w:rFonts w:ascii="Verdana" w:hAnsi="Verdana" w:cstheme="minorHAnsi"/>
          <w:b/>
          <w:bCs/>
          <w:sz w:val="22"/>
          <w:szCs w:val="22"/>
        </w:rPr>
        <w:t>3</w:t>
      </w:r>
      <w:r w:rsidR="00D32D15" w:rsidRPr="00FF4022">
        <w:rPr>
          <w:rFonts w:ascii="Verdana" w:hAnsi="Verdana" w:cstheme="minorHAnsi"/>
          <w:b/>
          <w:bCs/>
          <w:sz w:val="22"/>
          <w:szCs w:val="22"/>
        </w:rPr>
        <w:t>.3</w:t>
      </w:r>
      <w:r w:rsidR="00AB655B" w:rsidRPr="00FF4022">
        <w:rPr>
          <w:rFonts w:ascii="Verdana" w:hAnsi="Verdana" w:cstheme="minorHAnsi"/>
          <w:b/>
          <w:bCs/>
          <w:sz w:val="22"/>
          <w:szCs w:val="22"/>
        </w:rPr>
        <w:t xml:space="preserve"> -</w:t>
      </w:r>
      <w:r w:rsidR="00724F5C" w:rsidRPr="00FF4022">
        <w:rPr>
          <w:rFonts w:ascii="Verdana" w:hAnsi="Verdana" w:cstheme="minorHAnsi"/>
          <w:b/>
          <w:bCs/>
          <w:sz w:val="22"/>
          <w:szCs w:val="22"/>
        </w:rPr>
        <w:t xml:space="preserve"> Uso sostenibile e protezione delle acque e delle risorse marine</w:t>
      </w:r>
    </w:p>
    <w:p w14:paraId="7F32EEBD" w14:textId="77777777" w:rsidR="0080229B" w:rsidRPr="00FF4022" w:rsidRDefault="0080229B" w:rsidP="004B16C8">
      <w:pPr>
        <w:spacing w:line="276" w:lineRule="auto"/>
        <w:jc w:val="both"/>
        <w:rPr>
          <w:rFonts w:ascii="Verdana" w:hAnsi="Verdana" w:cstheme="minorHAnsi"/>
          <w:sz w:val="22"/>
          <w:szCs w:val="22"/>
        </w:rPr>
      </w:pPr>
    </w:p>
    <w:p w14:paraId="3A97B02F" w14:textId="78C4186B" w:rsidR="00052EA5" w:rsidRPr="00810D9A" w:rsidRDefault="005D6D75" w:rsidP="004B16C8">
      <w:pPr>
        <w:spacing w:line="276" w:lineRule="auto"/>
        <w:jc w:val="both"/>
        <w:rPr>
          <w:rFonts w:ascii="Verdana" w:hAnsi="Verdana" w:cstheme="minorHAnsi"/>
        </w:rPr>
      </w:pPr>
      <w:r w:rsidRPr="00810D9A">
        <w:rPr>
          <w:rFonts w:ascii="Verdana" w:hAnsi="Verdana" w:cstheme="minorHAnsi"/>
        </w:rPr>
        <w:t>Sched</w:t>
      </w:r>
      <w:r w:rsidR="00163C57">
        <w:rPr>
          <w:rFonts w:ascii="Verdana" w:hAnsi="Verdana" w:cstheme="minorHAnsi"/>
        </w:rPr>
        <w:t>a</w:t>
      </w:r>
      <w:r w:rsidRPr="00810D9A">
        <w:rPr>
          <w:rFonts w:ascii="Verdana" w:hAnsi="Verdana" w:cstheme="minorHAnsi"/>
        </w:rPr>
        <w:t xml:space="preserve"> 2 </w:t>
      </w:r>
      <w:r w:rsidR="005207EB" w:rsidRPr="00810D9A">
        <w:rPr>
          <w:rFonts w:ascii="Verdana" w:hAnsi="Verdana" w:cstheme="minorHAnsi"/>
        </w:rPr>
        <w:t>–</w:t>
      </w:r>
      <w:r w:rsidRPr="00810D9A">
        <w:rPr>
          <w:rFonts w:ascii="Verdana" w:hAnsi="Verdana" w:cstheme="minorHAnsi"/>
        </w:rPr>
        <w:t xml:space="preserve"> </w:t>
      </w:r>
      <w:r w:rsidR="005207EB" w:rsidRPr="00810D9A">
        <w:rPr>
          <w:rFonts w:ascii="Verdana" w:hAnsi="Verdana" w:cstheme="minorHAnsi"/>
        </w:rPr>
        <w:t xml:space="preserve">Costruzione di nuovi edifici e </w:t>
      </w:r>
      <w:r w:rsidRPr="00810D9A">
        <w:rPr>
          <w:rFonts w:ascii="Verdana" w:hAnsi="Verdana" w:cstheme="minorHAnsi"/>
        </w:rPr>
        <w:t>Ristrutturazioni e riqualificazioni di edifici residenziali</w:t>
      </w:r>
      <w:r w:rsidR="006301F0" w:rsidRPr="00810D9A">
        <w:rPr>
          <w:rFonts w:ascii="Verdana" w:hAnsi="Verdana" w:cstheme="minorHAnsi"/>
        </w:rPr>
        <w:t xml:space="preserve"> e non: </w:t>
      </w:r>
      <w:r w:rsidR="00052EA5" w:rsidRPr="00810D9A">
        <w:rPr>
          <w:rFonts w:ascii="Verdana" w:hAnsi="Verdana" w:cstheme="minorHAnsi"/>
        </w:rPr>
        <w:t>piena adozione del Decreto ministeriale 11 ottobre 2017 e ss.mm.ii. “Criteri ambientali minimi per l’affidamento di servizi di progettazione e lavori per la nuova costruzione, ristrutturazione e manutenzione di edifici pubblici”, per quanto riguarda la gestione delle acque, le soluzioni tecniche adottate dovranno rispettare gli standard internazionali di prodotto elencati nella Scheda di riferimento.</w:t>
      </w:r>
    </w:p>
    <w:p w14:paraId="3F78F47E" w14:textId="14BF39D1" w:rsidR="003D293C" w:rsidRPr="005207EB" w:rsidRDefault="003D293C" w:rsidP="004B16C8">
      <w:pPr>
        <w:spacing w:line="276" w:lineRule="auto"/>
        <w:jc w:val="both"/>
        <w:rPr>
          <w:rFonts w:ascii="Verdana" w:hAnsi="Verdana" w:cstheme="minorHAnsi"/>
        </w:rPr>
      </w:pPr>
    </w:p>
    <w:p w14:paraId="486CC96F" w14:textId="49808094" w:rsidR="00724F5C" w:rsidRPr="00FF4022" w:rsidRDefault="00BE72AA"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3</w:t>
      </w:r>
      <w:r w:rsidR="00AB655B" w:rsidRPr="00FF4022">
        <w:rPr>
          <w:rFonts w:ascii="Verdana" w:hAnsi="Verdana" w:cstheme="minorHAnsi"/>
          <w:b/>
          <w:bCs/>
          <w:sz w:val="22"/>
          <w:szCs w:val="22"/>
        </w:rPr>
        <w:t>.</w:t>
      </w:r>
      <w:r w:rsidR="00D32D15" w:rsidRPr="00FF4022">
        <w:rPr>
          <w:rFonts w:ascii="Verdana" w:hAnsi="Verdana" w:cstheme="minorHAnsi"/>
          <w:b/>
          <w:bCs/>
          <w:sz w:val="22"/>
          <w:szCs w:val="22"/>
        </w:rPr>
        <w:t>3.</w:t>
      </w:r>
      <w:r w:rsidR="00724F5C" w:rsidRPr="00FF4022">
        <w:rPr>
          <w:rFonts w:ascii="Verdana" w:hAnsi="Verdana" w:cstheme="minorHAnsi"/>
          <w:b/>
          <w:bCs/>
          <w:sz w:val="22"/>
          <w:szCs w:val="22"/>
        </w:rPr>
        <w:t>4</w:t>
      </w:r>
      <w:r w:rsidR="00AB655B" w:rsidRPr="00FF4022">
        <w:rPr>
          <w:rFonts w:ascii="Verdana" w:hAnsi="Verdana" w:cstheme="minorHAnsi"/>
          <w:b/>
          <w:bCs/>
          <w:sz w:val="22"/>
          <w:szCs w:val="22"/>
        </w:rPr>
        <w:t xml:space="preserve"> -</w:t>
      </w:r>
      <w:r w:rsidR="00724F5C" w:rsidRPr="00FF4022">
        <w:rPr>
          <w:rFonts w:ascii="Verdana" w:hAnsi="Verdana" w:cstheme="minorHAnsi"/>
          <w:b/>
          <w:bCs/>
          <w:sz w:val="22"/>
          <w:szCs w:val="22"/>
        </w:rPr>
        <w:t xml:space="preserve"> Economia circolare</w:t>
      </w:r>
    </w:p>
    <w:p w14:paraId="300B86FA" w14:textId="77777777" w:rsidR="000D75A3" w:rsidRPr="00810D9A" w:rsidRDefault="000D75A3" w:rsidP="004B16C8">
      <w:pPr>
        <w:spacing w:line="276" w:lineRule="auto"/>
        <w:jc w:val="both"/>
        <w:rPr>
          <w:rFonts w:ascii="Verdana" w:hAnsi="Verdana" w:cstheme="minorHAnsi"/>
        </w:rPr>
      </w:pPr>
    </w:p>
    <w:p w14:paraId="15D1B3E5" w14:textId="53589F2B" w:rsidR="00C14737" w:rsidRPr="00810D9A" w:rsidRDefault="005D6D75" w:rsidP="004B16C8">
      <w:pPr>
        <w:spacing w:line="276" w:lineRule="auto"/>
        <w:jc w:val="both"/>
        <w:rPr>
          <w:rFonts w:ascii="Verdana" w:hAnsi="Verdana" w:cstheme="minorHAnsi"/>
        </w:rPr>
      </w:pPr>
      <w:r w:rsidRPr="00810D9A">
        <w:rPr>
          <w:rFonts w:ascii="Verdana" w:hAnsi="Verdana" w:cstheme="minorHAnsi"/>
        </w:rPr>
        <w:t>Sched</w:t>
      </w:r>
      <w:r w:rsidR="00163C57">
        <w:rPr>
          <w:rFonts w:ascii="Verdana" w:hAnsi="Verdana" w:cstheme="minorHAnsi"/>
        </w:rPr>
        <w:t>a</w:t>
      </w:r>
      <w:r w:rsidRPr="00810D9A">
        <w:rPr>
          <w:rFonts w:ascii="Verdana" w:hAnsi="Verdana" w:cstheme="minorHAnsi"/>
        </w:rPr>
        <w:t xml:space="preserve"> 2 - </w:t>
      </w:r>
      <w:r w:rsidR="005207EB" w:rsidRPr="00810D9A">
        <w:rPr>
          <w:rFonts w:ascii="Verdana" w:hAnsi="Verdana" w:cstheme="minorHAnsi"/>
        </w:rPr>
        <w:t xml:space="preserve">Costruzione di nuovi edifici e </w:t>
      </w:r>
      <w:r w:rsidRPr="00810D9A">
        <w:rPr>
          <w:rFonts w:ascii="Verdana" w:hAnsi="Verdana" w:cstheme="minorHAnsi"/>
        </w:rPr>
        <w:t xml:space="preserve">Ristrutturazioni e riqualificazioni di edifici residenziali e non: </w:t>
      </w:r>
    </w:p>
    <w:p w14:paraId="50AB752E" w14:textId="4D7ED582" w:rsidR="003D293C" w:rsidRPr="00810D9A" w:rsidRDefault="003D293C" w:rsidP="004B16C8">
      <w:pPr>
        <w:pStyle w:val="Paragrafoelenco"/>
        <w:numPr>
          <w:ilvl w:val="0"/>
          <w:numId w:val="19"/>
        </w:numPr>
        <w:jc w:val="both"/>
        <w:rPr>
          <w:rFonts w:ascii="Verdana" w:hAnsi="Verdana" w:cstheme="minorHAnsi"/>
        </w:rPr>
      </w:pPr>
      <w:r w:rsidRPr="00810D9A">
        <w:rPr>
          <w:rFonts w:ascii="Verdana" w:hAnsi="Verdana" w:cstheme="minorHAnsi"/>
        </w:rPr>
        <w:t>Rispetto del Decreto ministeriale 11 ottobre 2017 e ss.mm.ii., “Criteri ambientali minimi per l’affidamento di servizi di progettazione e lavori per la nuova costruzione, ristrutturazione e manutenzione di edifici pubblici”;</w:t>
      </w:r>
    </w:p>
    <w:p w14:paraId="5CBB42FF" w14:textId="753F78A9" w:rsidR="003D293C" w:rsidRPr="005207EB" w:rsidRDefault="003D293C" w:rsidP="004B16C8">
      <w:pPr>
        <w:pStyle w:val="Paragrafoelenco"/>
        <w:numPr>
          <w:ilvl w:val="0"/>
          <w:numId w:val="19"/>
        </w:numPr>
        <w:jc w:val="both"/>
        <w:rPr>
          <w:rFonts w:ascii="Verdana" w:hAnsi="Verdana" w:cstheme="minorHAnsi"/>
        </w:rPr>
      </w:pPr>
      <w:r w:rsidRPr="00810D9A">
        <w:rPr>
          <w:rFonts w:ascii="Verdana" w:hAnsi="Verdana" w:cstheme="minorHAnsi"/>
        </w:rPr>
        <w:t xml:space="preserve">Dimostrare che almeno il 70%, calcolato rispetto al peso totale, dei rifiuti non pericolosi ricadenti nel Capitolo 17 – Rifiuti delle attività di costruzione e demolizione (compreso il terreno proveniente da siti </w:t>
      </w:r>
      <w:r w:rsidRPr="005207EB">
        <w:rPr>
          <w:rFonts w:ascii="Verdana" w:hAnsi="Verdana" w:cstheme="minorHAnsi"/>
        </w:rPr>
        <w:t>contaminati, ex Dlgs 152/06), sia inviato a recupero (R1-R13).</w:t>
      </w:r>
    </w:p>
    <w:p w14:paraId="1F04E083" w14:textId="72515E77" w:rsidR="00C14737" w:rsidRPr="005207EB" w:rsidRDefault="00C14737" w:rsidP="004B16C8">
      <w:pPr>
        <w:spacing w:line="276" w:lineRule="auto"/>
        <w:jc w:val="both"/>
        <w:rPr>
          <w:rFonts w:ascii="Verdana" w:hAnsi="Verdana" w:cstheme="minorHAnsi"/>
        </w:rPr>
      </w:pPr>
    </w:p>
    <w:p w14:paraId="1515EAD6" w14:textId="77777777" w:rsidR="005C5214" w:rsidRPr="005207EB" w:rsidRDefault="005C5214" w:rsidP="004B16C8">
      <w:pPr>
        <w:autoSpaceDE w:val="0"/>
        <w:autoSpaceDN w:val="0"/>
        <w:adjustRightInd w:val="0"/>
        <w:jc w:val="both"/>
        <w:rPr>
          <w:rFonts w:ascii="Verdana" w:hAnsi="Verdana" w:cstheme="minorHAnsi"/>
        </w:rPr>
      </w:pPr>
      <w:r w:rsidRPr="005207EB">
        <w:rPr>
          <w:rFonts w:ascii="Verdana" w:hAnsi="Verdana" w:cstheme="minorHAnsi"/>
        </w:rPr>
        <w:t xml:space="preserve">Scheda 9 - Acquisto di veicoli: </w:t>
      </w:r>
      <w:r w:rsidRPr="005207EB">
        <w:rPr>
          <w:rFonts w:ascii="Verdana" w:hAnsi="Verdana" w:cstheme="minorHAnsi"/>
          <w:b/>
          <w:bCs/>
        </w:rPr>
        <w:t>Per tutte le categorie di veicoli</w:t>
      </w:r>
      <w:r w:rsidRPr="005207EB">
        <w:rPr>
          <w:rFonts w:ascii="Verdana" w:hAnsi="Verdana" w:cstheme="minorHAnsi"/>
        </w:rPr>
        <w:t>, i beneficiari dei finanziamenti dovranno fornire informazioni sulle modalità di gestione dei rifiuti, secondo la gerarchia dei rifiuti, sia nella fase di utilizzo (manutenzione) che nel fine vita della flotta, anche attraverso il riutilizzo e il riciclaggio di batterie ed elettroniche (in particolare le materie prime critiche in esse contenute).</w:t>
      </w:r>
    </w:p>
    <w:p w14:paraId="04DED2C3" w14:textId="77777777" w:rsidR="005C5214" w:rsidRPr="005207EB" w:rsidRDefault="005C5214" w:rsidP="004B16C8">
      <w:pPr>
        <w:autoSpaceDE w:val="0"/>
        <w:autoSpaceDN w:val="0"/>
        <w:adjustRightInd w:val="0"/>
        <w:jc w:val="both"/>
        <w:rPr>
          <w:rFonts w:ascii="Verdana" w:hAnsi="Verdana" w:cstheme="minorHAnsi"/>
        </w:rPr>
      </w:pPr>
      <w:r w:rsidRPr="005207EB">
        <w:rPr>
          <w:rFonts w:ascii="Verdana" w:hAnsi="Verdana" w:cstheme="minorHAnsi"/>
        </w:rPr>
        <w:t xml:space="preserve">Pertanto, oltre </w:t>
      </w:r>
      <w:r w:rsidRPr="005207EB">
        <w:rPr>
          <w:rFonts w:ascii="Verdana" w:eastAsia="TimesNewRomanPSMT" w:hAnsi="Verdana" w:cstheme="minorHAnsi"/>
        </w:rPr>
        <w:t xml:space="preserve">all’applicazione </w:t>
      </w:r>
      <w:r w:rsidRPr="005207EB">
        <w:rPr>
          <w:rFonts w:ascii="Verdana" w:hAnsi="Verdana" w:cstheme="minorHAnsi"/>
        </w:rPr>
        <w:t xml:space="preserve">del Decreto ministeriale 17 giugno 2021 inerente </w:t>
      </w:r>
      <w:r w:rsidRPr="005207EB">
        <w:rPr>
          <w:rFonts w:ascii="Verdana" w:eastAsia="TimesNewRomanPSMT" w:hAnsi="Verdana" w:cstheme="minorHAnsi"/>
        </w:rPr>
        <w:t>l’</w:t>
      </w:r>
      <w:r w:rsidRPr="005207EB">
        <w:rPr>
          <w:rFonts w:ascii="Verdana" w:hAnsi="Verdana" w:cstheme="minorHAnsi"/>
        </w:rPr>
        <w:t xml:space="preserve">Acquisto, leasing, locazione, noleggio di veicoli adibiti al trasporto su strada e per i servizi di trasporto pubblico terrestre, servizi speciali di trasporto passeggeri su strada, relativo ai requisiti di utilizzo di materiali riciclati e </w:t>
      </w:r>
      <w:proofErr w:type="spellStart"/>
      <w:r w:rsidRPr="005207EB">
        <w:rPr>
          <w:rFonts w:ascii="Verdana" w:hAnsi="Verdana" w:cstheme="minorHAnsi"/>
        </w:rPr>
        <w:t>disassemblabilità</w:t>
      </w:r>
      <w:proofErr w:type="spellEnd"/>
      <w:r w:rsidRPr="005207EB">
        <w:rPr>
          <w:rFonts w:ascii="Verdana" w:hAnsi="Verdana" w:cstheme="minorHAnsi"/>
        </w:rPr>
        <w:t>, sarà necessario avere contezza della gestione dei rifiuti finale.</w:t>
      </w:r>
    </w:p>
    <w:p w14:paraId="257934AA" w14:textId="77777777" w:rsidR="00C14737" w:rsidRDefault="00C14737" w:rsidP="004B16C8">
      <w:pPr>
        <w:spacing w:line="276" w:lineRule="auto"/>
        <w:jc w:val="both"/>
        <w:rPr>
          <w:rFonts w:ascii="Verdana" w:hAnsi="Verdana" w:cstheme="minorHAnsi"/>
          <w:sz w:val="22"/>
          <w:szCs w:val="22"/>
        </w:rPr>
      </w:pPr>
    </w:p>
    <w:p w14:paraId="1A9D0195" w14:textId="77777777" w:rsidR="00810D9A" w:rsidRDefault="00810D9A" w:rsidP="004B16C8">
      <w:pPr>
        <w:spacing w:line="276" w:lineRule="auto"/>
        <w:jc w:val="both"/>
        <w:rPr>
          <w:rFonts w:ascii="Verdana" w:hAnsi="Verdana" w:cstheme="minorHAnsi"/>
          <w:sz w:val="22"/>
          <w:szCs w:val="22"/>
        </w:rPr>
      </w:pPr>
    </w:p>
    <w:p w14:paraId="39D309FF" w14:textId="77777777" w:rsidR="00810D9A" w:rsidRDefault="00810D9A" w:rsidP="004B16C8">
      <w:pPr>
        <w:spacing w:line="276" w:lineRule="auto"/>
        <w:jc w:val="both"/>
        <w:rPr>
          <w:rFonts w:ascii="Verdana" w:hAnsi="Verdana" w:cstheme="minorHAnsi"/>
          <w:sz w:val="22"/>
          <w:szCs w:val="22"/>
        </w:rPr>
      </w:pPr>
    </w:p>
    <w:p w14:paraId="7AD08D18" w14:textId="77777777" w:rsidR="00810D9A" w:rsidRPr="00FF4022" w:rsidRDefault="00810D9A" w:rsidP="004B16C8">
      <w:pPr>
        <w:spacing w:line="276" w:lineRule="auto"/>
        <w:jc w:val="both"/>
        <w:rPr>
          <w:rFonts w:ascii="Verdana" w:hAnsi="Verdana" w:cstheme="minorHAnsi"/>
          <w:sz w:val="22"/>
          <w:szCs w:val="22"/>
        </w:rPr>
      </w:pPr>
    </w:p>
    <w:p w14:paraId="2AB97ABE" w14:textId="77777777" w:rsidR="00724F5C" w:rsidRPr="00FF4022" w:rsidRDefault="00724F5C" w:rsidP="004B16C8">
      <w:pPr>
        <w:spacing w:line="276" w:lineRule="auto"/>
        <w:jc w:val="both"/>
        <w:rPr>
          <w:rFonts w:ascii="Verdana" w:hAnsi="Verdana" w:cstheme="minorHAnsi"/>
          <w:b/>
          <w:bCs/>
          <w:sz w:val="22"/>
          <w:szCs w:val="22"/>
        </w:rPr>
      </w:pPr>
    </w:p>
    <w:p w14:paraId="19361E60" w14:textId="32C2E61A" w:rsidR="00C14737" w:rsidRPr="00FF4022" w:rsidRDefault="00BE72AA"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lastRenderedPageBreak/>
        <w:t>3</w:t>
      </w:r>
      <w:r w:rsidR="00AB655B" w:rsidRPr="00FF4022">
        <w:rPr>
          <w:rFonts w:ascii="Verdana" w:hAnsi="Verdana" w:cstheme="minorHAnsi"/>
          <w:b/>
          <w:bCs/>
          <w:sz w:val="22"/>
          <w:szCs w:val="22"/>
        </w:rPr>
        <w:t>.</w:t>
      </w:r>
      <w:r w:rsidR="00D32D15" w:rsidRPr="00FF4022">
        <w:rPr>
          <w:rFonts w:ascii="Verdana" w:hAnsi="Verdana" w:cstheme="minorHAnsi"/>
          <w:b/>
          <w:bCs/>
          <w:sz w:val="22"/>
          <w:szCs w:val="22"/>
        </w:rPr>
        <w:t>3.</w:t>
      </w:r>
      <w:r w:rsidR="00724F5C" w:rsidRPr="00FF4022">
        <w:rPr>
          <w:rFonts w:ascii="Verdana" w:hAnsi="Verdana" w:cstheme="minorHAnsi"/>
          <w:b/>
          <w:bCs/>
          <w:sz w:val="22"/>
          <w:szCs w:val="22"/>
        </w:rPr>
        <w:t>5</w:t>
      </w:r>
      <w:r w:rsidR="00AB655B" w:rsidRPr="00FF4022">
        <w:rPr>
          <w:rFonts w:ascii="Verdana" w:hAnsi="Verdana" w:cstheme="minorHAnsi"/>
          <w:b/>
          <w:bCs/>
          <w:sz w:val="22"/>
          <w:szCs w:val="22"/>
        </w:rPr>
        <w:t xml:space="preserve"> -</w:t>
      </w:r>
      <w:r w:rsidR="00724F5C" w:rsidRPr="00FF4022">
        <w:rPr>
          <w:rFonts w:ascii="Verdana" w:hAnsi="Verdana" w:cstheme="minorHAnsi"/>
          <w:b/>
          <w:bCs/>
          <w:sz w:val="22"/>
          <w:szCs w:val="22"/>
        </w:rPr>
        <w:t xml:space="preserve"> Prevenzione e riduzione dell'inquinamento</w:t>
      </w:r>
    </w:p>
    <w:p w14:paraId="7A023873" w14:textId="77777777" w:rsidR="00C14737" w:rsidRPr="00810D9A" w:rsidRDefault="00C14737" w:rsidP="004B16C8">
      <w:pPr>
        <w:spacing w:line="276" w:lineRule="auto"/>
        <w:jc w:val="both"/>
        <w:rPr>
          <w:rFonts w:ascii="Verdana" w:hAnsi="Verdana" w:cstheme="minorHAnsi"/>
          <w:b/>
          <w:bCs/>
          <w:sz w:val="22"/>
          <w:szCs w:val="22"/>
        </w:rPr>
      </w:pPr>
    </w:p>
    <w:p w14:paraId="2CFB86D8" w14:textId="08E4B17F" w:rsidR="00B507FA" w:rsidRPr="005207EB" w:rsidRDefault="00B507FA" w:rsidP="004B16C8">
      <w:pPr>
        <w:spacing w:line="276" w:lineRule="auto"/>
        <w:jc w:val="both"/>
        <w:rPr>
          <w:rFonts w:ascii="Verdana" w:hAnsi="Verdana" w:cstheme="minorHAnsi"/>
        </w:rPr>
      </w:pPr>
      <w:r w:rsidRPr="005207EB">
        <w:rPr>
          <w:rFonts w:ascii="Verdana" w:hAnsi="Verdana" w:cstheme="minorHAnsi"/>
        </w:rPr>
        <w:t xml:space="preserve">Scheda 2 - Ristrutturazioni e riqualificazioni di edifici residenziali e non: </w:t>
      </w:r>
    </w:p>
    <w:p w14:paraId="775DBFC3" w14:textId="25BCD8D8" w:rsidR="006223D3" w:rsidRPr="005207EB" w:rsidRDefault="0010533F" w:rsidP="004B16C8">
      <w:pPr>
        <w:pStyle w:val="Paragrafoelenco"/>
        <w:numPr>
          <w:ilvl w:val="0"/>
          <w:numId w:val="22"/>
        </w:numPr>
        <w:spacing w:line="276" w:lineRule="auto"/>
        <w:jc w:val="both"/>
        <w:rPr>
          <w:rFonts w:ascii="Verdana" w:hAnsi="Verdana" w:cstheme="minorHAnsi"/>
          <w:b/>
          <w:bCs/>
        </w:rPr>
      </w:pPr>
      <w:r w:rsidRPr="005207EB">
        <w:rPr>
          <w:rFonts w:ascii="Verdana" w:hAnsi="Verdana" w:cstheme="minorHAnsi"/>
        </w:rPr>
        <w:t>Prima di iniziare i lavori di ristrutturazione, dovrà essere eseguita un’accurata indagine in conformità con la legislazione nazionale, in ordine al ritrovamento amianto e nell’identificazione di altri materiali contenenti sostanze contaminanti. Qualsiasi rimozione del rivestimento che contiene o potrebbe contenere amianto, rottura o perforazione meccanica o avvitamento e/o rimozione di pannelli isolanti, piastrelle e altri materiali contenenti amianto, dovrà essere eseguita da personale adeguatamente formato e certificato, con monitoraggio sanitario prima, durante e dopo le opere, in conformità alla legislazione nazionale vigente</w:t>
      </w:r>
      <w:r w:rsidR="002235E0" w:rsidRPr="005207EB">
        <w:rPr>
          <w:rFonts w:ascii="Verdana" w:hAnsi="Verdana" w:cstheme="minorHAnsi"/>
        </w:rPr>
        <w:t>;</w:t>
      </w:r>
    </w:p>
    <w:p w14:paraId="4FFB2579" w14:textId="77777777" w:rsidR="002235E0" w:rsidRPr="005207EB" w:rsidRDefault="002235E0" w:rsidP="004B16C8">
      <w:pPr>
        <w:pStyle w:val="Paragrafoelenco"/>
        <w:numPr>
          <w:ilvl w:val="0"/>
          <w:numId w:val="22"/>
        </w:numPr>
        <w:spacing w:line="276" w:lineRule="auto"/>
        <w:jc w:val="both"/>
        <w:rPr>
          <w:rFonts w:ascii="Verdana" w:hAnsi="Verdana" w:cstheme="minorHAnsi"/>
        </w:rPr>
      </w:pPr>
      <w:r w:rsidRPr="005207EB">
        <w:rPr>
          <w:rFonts w:ascii="Verdana" w:hAnsi="Verdana" w:cstheme="minorHAnsi"/>
        </w:rPr>
        <w:t>per i materiali in ingresso non potranno essere utilizzati componenti, prodotti e materiali contenenti sostanze inquinanti di cui al “</w:t>
      </w:r>
      <w:proofErr w:type="spellStart"/>
      <w:r w:rsidRPr="005207EB">
        <w:rPr>
          <w:rFonts w:ascii="Verdana" w:hAnsi="Verdana" w:cstheme="minorHAnsi"/>
          <w:i/>
          <w:iCs/>
        </w:rPr>
        <w:t>Authorization</w:t>
      </w:r>
      <w:proofErr w:type="spellEnd"/>
      <w:r w:rsidRPr="005207EB">
        <w:rPr>
          <w:rFonts w:ascii="Verdana" w:hAnsi="Verdana" w:cstheme="minorHAnsi"/>
          <w:i/>
          <w:iCs/>
        </w:rPr>
        <w:t xml:space="preserve"> List</w:t>
      </w:r>
      <w:r w:rsidRPr="005207EB">
        <w:rPr>
          <w:rFonts w:ascii="Verdana" w:hAnsi="Verdana" w:cstheme="minorHAnsi"/>
        </w:rPr>
        <w:t>” presente nel regolamento REACH. A tal proposito dovranno essere fornite le Schede tecniche dei materiali e sostanze impiegate;</w:t>
      </w:r>
    </w:p>
    <w:p w14:paraId="70D9727D" w14:textId="77777777" w:rsidR="002235E0" w:rsidRPr="005207EB" w:rsidRDefault="002235E0" w:rsidP="004B16C8">
      <w:pPr>
        <w:pStyle w:val="Paragrafoelenco"/>
        <w:numPr>
          <w:ilvl w:val="0"/>
          <w:numId w:val="22"/>
        </w:numPr>
        <w:spacing w:line="276" w:lineRule="auto"/>
        <w:jc w:val="both"/>
        <w:rPr>
          <w:rFonts w:ascii="Verdana" w:hAnsi="Verdana" w:cstheme="minorHAnsi"/>
        </w:rPr>
      </w:pPr>
      <w:r w:rsidRPr="005207EB">
        <w:rPr>
          <w:rFonts w:ascii="Verdana" w:hAnsi="Verdana" w:cstheme="minorHAnsi"/>
        </w:rPr>
        <w:t>per la gestione ambientale del cantiere dovrà essere redatto specifico Piano ambientale di cantierizzazione (PAC), ove previsto dalle normative regionali o nazionali;</w:t>
      </w:r>
    </w:p>
    <w:p w14:paraId="72162571" w14:textId="1D12ED7A" w:rsidR="00BF79BA" w:rsidRPr="005207EB" w:rsidRDefault="00DD67FF" w:rsidP="004B16C8">
      <w:pPr>
        <w:pStyle w:val="Paragrafoelenco"/>
        <w:numPr>
          <w:ilvl w:val="0"/>
          <w:numId w:val="22"/>
        </w:numPr>
        <w:spacing w:line="276" w:lineRule="auto"/>
        <w:jc w:val="both"/>
        <w:rPr>
          <w:rFonts w:ascii="Verdana" w:hAnsi="Verdana" w:cstheme="minorHAnsi"/>
        </w:rPr>
      </w:pPr>
      <w:r w:rsidRPr="005207EB">
        <w:rPr>
          <w:rFonts w:ascii="Verdana" w:hAnsi="Verdana" w:cstheme="minorHAnsi"/>
        </w:rPr>
        <w:t>dovrà essere fornita, se la ristrutturazione dovesse interessare locali a rischio, una valutazione del rischio Radon, realizzata secondo i criteri tecnici indicati nel quadro normativo nazionale e regionale vigente.</w:t>
      </w:r>
    </w:p>
    <w:p w14:paraId="5B39C651" w14:textId="5CBD4754" w:rsidR="00450060" w:rsidRPr="00810D9A" w:rsidRDefault="00450060" w:rsidP="004B16C8">
      <w:pPr>
        <w:spacing w:line="276" w:lineRule="auto"/>
        <w:jc w:val="both"/>
        <w:rPr>
          <w:rFonts w:ascii="Verdana" w:hAnsi="Verdana" w:cstheme="minorHAnsi"/>
        </w:rPr>
      </w:pPr>
    </w:p>
    <w:p w14:paraId="64664A90" w14:textId="67AED395" w:rsidR="00450060" w:rsidRPr="00810D9A" w:rsidRDefault="00450060" w:rsidP="004B16C8">
      <w:pPr>
        <w:spacing w:line="276" w:lineRule="auto"/>
        <w:jc w:val="both"/>
        <w:rPr>
          <w:rFonts w:ascii="Verdana" w:hAnsi="Verdana" w:cstheme="minorHAnsi"/>
        </w:rPr>
      </w:pPr>
      <w:r w:rsidRPr="00810D9A">
        <w:rPr>
          <w:rFonts w:ascii="Verdana" w:hAnsi="Verdana" w:cstheme="minorHAnsi"/>
        </w:rPr>
        <w:t xml:space="preserve">Scheda 9 - </w:t>
      </w:r>
      <w:r w:rsidR="00984CBE" w:rsidRPr="00810D9A">
        <w:rPr>
          <w:rFonts w:ascii="Verdana" w:hAnsi="Verdana" w:cstheme="minorHAnsi"/>
        </w:rPr>
        <w:t>Acquisto di veicoli</w:t>
      </w:r>
      <w:r w:rsidR="005207EB" w:rsidRPr="00810D9A">
        <w:rPr>
          <w:rFonts w:ascii="Verdana" w:hAnsi="Verdana"/>
        </w:rPr>
        <w:t>: i veicoli devono essere conformi ai requisiti della più recente fase applicabile dell’omologazione Euro 6 per le emissioni dei veicoli leggeri stabilita in conformità del regolamento (CE) n. 715/2007. I veicoli devono rispettare le soglie di emissione per i veicoli leggeri puliti di cui alla tabella 2 dell’allegato della direttiva 2009/33/CE del Parlamento europeo e del Consiglio.</w:t>
      </w:r>
    </w:p>
    <w:p w14:paraId="3E584D9B" w14:textId="77777777" w:rsidR="00BF79BA" w:rsidRPr="00FF4022" w:rsidRDefault="00BF79BA" w:rsidP="004B16C8">
      <w:pPr>
        <w:spacing w:line="276" w:lineRule="auto"/>
        <w:jc w:val="both"/>
        <w:rPr>
          <w:rFonts w:ascii="Verdana" w:hAnsi="Verdana" w:cstheme="minorHAnsi"/>
          <w:b/>
          <w:bCs/>
          <w:sz w:val="22"/>
          <w:szCs w:val="22"/>
        </w:rPr>
      </w:pPr>
    </w:p>
    <w:p w14:paraId="675C067D" w14:textId="64797ABF" w:rsidR="00FD2CAA" w:rsidRPr="00FF4022" w:rsidRDefault="00BE72AA" w:rsidP="004B16C8">
      <w:pPr>
        <w:spacing w:line="276" w:lineRule="auto"/>
        <w:jc w:val="both"/>
        <w:rPr>
          <w:rFonts w:ascii="Verdana" w:hAnsi="Verdana" w:cstheme="minorHAnsi"/>
          <w:b/>
          <w:bCs/>
          <w:sz w:val="22"/>
          <w:szCs w:val="22"/>
        </w:rPr>
      </w:pPr>
      <w:r w:rsidRPr="00FF4022">
        <w:rPr>
          <w:rFonts w:ascii="Verdana" w:hAnsi="Verdana" w:cstheme="minorHAnsi"/>
          <w:b/>
          <w:bCs/>
          <w:sz w:val="22"/>
          <w:szCs w:val="22"/>
        </w:rPr>
        <w:t>3</w:t>
      </w:r>
      <w:r w:rsidR="00AB655B" w:rsidRPr="00FF4022">
        <w:rPr>
          <w:rFonts w:ascii="Verdana" w:hAnsi="Verdana" w:cstheme="minorHAnsi"/>
          <w:b/>
          <w:bCs/>
          <w:sz w:val="22"/>
          <w:szCs w:val="22"/>
        </w:rPr>
        <w:t>.</w:t>
      </w:r>
      <w:r w:rsidR="00D32D15" w:rsidRPr="00FF4022">
        <w:rPr>
          <w:rFonts w:ascii="Verdana" w:hAnsi="Verdana" w:cstheme="minorHAnsi"/>
          <w:b/>
          <w:bCs/>
          <w:sz w:val="22"/>
          <w:szCs w:val="22"/>
        </w:rPr>
        <w:t>3.</w:t>
      </w:r>
      <w:r w:rsidR="00724F5C" w:rsidRPr="00FF4022">
        <w:rPr>
          <w:rFonts w:ascii="Verdana" w:hAnsi="Verdana" w:cstheme="minorHAnsi"/>
          <w:b/>
          <w:bCs/>
          <w:sz w:val="22"/>
          <w:szCs w:val="22"/>
        </w:rPr>
        <w:t>6</w:t>
      </w:r>
      <w:r w:rsidR="00AB655B" w:rsidRPr="00FF4022">
        <w:rPr>
          <w:rFonts w:ascii="Verdana" w:hAnsi="Verdana" w:cstheme="minorHAnsi"/>
          <w:b/>
          <w:bCs/>
          <w:sz w:val="22"/>
          <w:szCs w:val="22"/>
        </w:rPr>
        <w:t xml:space="preserve"> -</w:t>
      </w:r>
      <w:r w:rsidR="00724F5C" w:rsidRPr="00FF4022">
        <w:rPr>
          <w:rFonts w:ascii="Verdana" w:hAnsi="Verdana" w:cstheme="minorHAnsi"/>
          <w:b/>
          <w:bCs/>
          <w:sz w:val="22"/>
          <w:szCs w:val="22"/>
        </w:rPr>
        <w:t xml:space="preserve"> Protezione e ripristino della biodiversità e degli ecosistemi</w:t>
      </w:r>
    </w:p>
    <w:p w14:paraId="7B07B2FD" w14:textId="77777777" w:rsidR="00FD2CAA" w:rsidRPr="00FF4022" w:rsidRDefault="00FD2CAA" w:rsidP="004B16C8">
      <w:pPr>
        <w:spacing w:line="276" w:lineRule="auto"/>
        <w:jc w:val="both"/>
        <w:rPr>
          <w:rFonts w:ascii="Verdana" w:hAnsi="Verdana" w:cstheme="minorHAnsi"/>
          <w:sz w:val="22"/>
          <w:szCs w:val="22"/>
        </w:rPr>
      </w:pPr>
    </w:p>
    <w:p w14:paraId="4179FE67" w14:textId="77777777" w:rsidR="005207EB" w:rsidRPr="00BF79BA" w:rsidRDefault="005207EB" w:rsidP="005207EB">
      <w:pPr>
        <w:spacing w:line="276" w:lineRule="auto"/>
        <w:jc w:val="both"/>
        <w:rPr>
          <w:rFonts w:ascii="Verdana" w:hAnsi="Verdana"/>
        </w:rPr>
      </w:pPr>
      <w:r w:rsidRPr="00BF79BA">
        <w:rPr>
          <w:rFonts w:ascii="Verdana" w:hAnsi="Verdana"/>
        </w:rPr>
        <w:t>Scheda 2 - Ristrutturazioni e riqualificazioni di edifici residenziali e non</w:t>
      </w:r>
    </w:p>
    <w:p w14:paraId="00219063" w14:textId="77777777" w:rsidR="005207EB" w:rsidRPr="007D2068" w:rsidRDefault="005207EB" w:rsidP="005207EB">
      <w:pPr>
        <w:spacing w:line="276" w:lineRule="auto"/>
        <w:jc w:val="both"/>
        <w:rPr>
          <w:rFonts w:ascii="Verdana" w:hAnsi="Verdana"/>
          <w:sz w:val="10"/>
          <w:szCs w:val="10"/>
        </w:rPr>
      </w:pPr>
    </w:p>
    <w:p w14:paraId="22ACC6B6" w14:textId="26CDD40C" w:rsidR="005207EB" w:rsidRPr="00BF79BA" w:rsidRDefault="005207EB" w:rsidP="005207EB">
      <w:pPr>
        <w:spacing w:line="276" w:lineRule="auto"/>
        <w:jc w:val="both"/>
        <w:rPr>
          <w:rFonts w:ascii="Verdana" w:hAnsi="Verdana"/>
        </w:rPr>
      </w:pPr>
      <w:r w:rsidRPr="00BF79BA">
        <w:rPr>
          <w:rFonts w:ascii="Verdana" w:hAnsi="Verdana"/>
        </w:rPr>
        <w:t>Il rispetto dei criteri di cui all</w:t>
      </w:r>
      <w:r w:rsidR="00163C57">
        <w:rPr>
          <w:rFonts w:ascii="Verdana" w:hAnsi="Verdana"/>
        </w:rPr>
        <w:t>a</w:t>
      </w:r>
      <w:r w:rsidRPr="00BF79BA">
        <w:rPr>
          <w:rFonts w:ascii="Verdana" w:hAnsi="Verdana"/>
        </w:rPr>
        <w:t xml:space="preserve"> Sched</w:t>
      </w:r>
      <w:r w:rsidR="00163C57">
        <w:rPr>
          <w:rFonts w:ascii="Verdana" w:hAnsi="Verdana"/>
        </w:rPr>
        <w:t>a</w:t>
      </w:r>
      <w:r w:rsidRPr="00BF79BA">
        <w:rPr>
          <w:rFonts w:ascii="Verdana" w:hAnsi="Verdana"/>
        </w:rPr>
        <w:t xml:space="preserve"> 2 è insito nel rispetto della normativa nazionale vigente; pertanto, a tale scopo, è sufficiente inserire il riferimento al rispetto della normativa applicabile al caso specifico. </w:t>
      </w:r>
    </w:p>
    <w:p w14:paraId="594FF60E" w14:textId="77777777" w:rsidR="005207EB" w:rsidRDefault="005207EB" w:rsidP="005207EB">
      <w:pPr>
        <w:spacing w:line="276" w:lineRule="auto"/>
        <w:jc w:val="both"/>
        <w:rPr>
          <w:rFonts w:ascii="Verdana" w:hAnsi="Verdana"/>
        </w:rPr>
      </w:pPr>
      <w:r w:rsidRPr="00BF79BA">
        <w:rPr>
          <w:rFonts w:ascii="Verdana" w:hAnsi="Verdana"/>
        </w:rPr>
        <w:t>Inoltre, nel caso di utilizzo di legno per la costruzione di strutture, rivestimento e rifiniture, o ristrutturazione su almeno 1000 mq di superficie (su uno o più edifici) dovranno essere forniti elementi riguardo l’utilizzo di materiali legnosi di cui al contenuto delle schede MEF (ove applicabili alla tipologia di investimento).</w:t>
      </w:r>
    </w:p>
    <w:p w14:paraId="125B8EEF" w14:textId="77777777" w:rsidR="00013722" w:rsidRPr="005207EB" w:rsidRDefault="00013722" w:rsidP="004B16C8">
      <w:pPr>
        <w:autoSpaceDE w:val="0"/>
        <w:autoSpaceDN w:val="0"/>
        <w:adjustRightInd w:val="0"/>
        <w:jc w:val="both"/>
        <w:rPr>
          <w:rFonts w:ascii="Verdana" w:hAnsi="Verdana" w:cstheme="minorHAnsi"/>
        </w:rPr>
      </w:pPr>
    </w:p>
    <w:p w14:paraId="724BA020" w14:textId="243F9714" w:rsidR="00984CBE" w:rsidRPr="005207EB" w:rsidRDefault="00450060" w:rsidP="004B16C8">
      <w:pPr>
        <w:autoSpaceDE w:val="0"/>
        <w:autoSpaceDN w:val="0"/>
        <w:adjustRightInd w:val="0"/>
        <w:jc w:val="both"/>
        <w:rPr>
          <w:rFonts w:ascii="Verdana" w:hAnsi="Verdana" w:cstheme="minorHAnsi"/>
        </w:rPr>
      </w:pPr>
      <w:r w:rsidRPr="005207EB">
        <w:rPr>
          <w:rFonts w:ascii="Verdana" w:hAnsi="Verdana" w:cstheme="minorHAnsi"/>
        </w:rPr>
        <w:t>Scheda</w:t>
      </w:r>
      <w:r w:rsidR="008D2912" w:rsidRPr="005207EB">
        <w:rPr>
          <w:rFonts w:ascii="Verdana" w:hAnsi="Verdana" w:cstheme="minorHAnsi"/>
        </w:rPr>
        <w:t xml:space="preserve"> 9 - </w:t>
      </w:r>
      <w:r w:rsidR="00984CBE" w:rsidRPr="005207EB">
        <w:rPr>
          <w:rFonts w:ascii="Verdana" w:hAnsi="Verdana" w:cstheme="minorHAnsi"/>
        </w:rPr>
        <w:t>Acquisto di veicoli</w:t>
      </w:r>
      <w:r w:rsidR="00CC210C" w:rsidRPr="005207EB">
        <w:rPr>
          <w:rFonts w:ascii="Verdana" w:hAnsi="Verdana" w:cstheme="minorHAnsi"/>
        </w:rPr>
        <w:t>: I veicoli sono conformi ai requisiti della più recente fase applicabile dell'omologazione Euro 6 per le emissioni dei veicoli leggeri 21 stabilita in conformità del regolamento (CE) n. 715/2007. I veicoli rispettano le soglie di emissione per i veicoli leggeri puliti di cui alla tabella 2 dell'allegato della direttiva 2009/33/CE del Parlamento europeo e del Consiglio</w:t>
      </w:r>
      <w:r w:rsidR="00CC210C" w:rsidRPr="005207EB">
        <w:rPr>
          <w:rStyle w:val="Rimandonotaapidipagina"/>
          <w:rFonts w:ascii="Verdana" w:hAnsi="Verdana" w:cstheme="minorHAnsi"/>
        </w:rPr>
        <w:footnoteReference w:id="3"/>
      </w:r>
      <w:r w:rsidR="00CC210C" w:rsidRPr="005207EB">
        <w:rPr>
          <w:rFonts w:ascii="Verdana" w:hAnsi="Verdana" w:cstheme="minorHAnsi"/>
        </w:rPr>
        <w:t>.</w:t>
      </w:r>
    </w:p>
    <w:p w14:paraId="33364D8C" w14:textId="656580B9" w:rsidR="00D74CC0" w:rsidRPr="005207EB" w:rsidRDefault="00CC210C" w:rsidP="004B16C8">
      <w:pPr>
        <w:autoSpaceDE w:val="0"/>
        <w:autoSpaceDN w:val="0"/>
        <w:adjustRightInd w:val="0"/>
        <w:jc w:val="both"/>
        <w:rPr>
          <w:rFonts w:ascii="Verdana" w:hAnsi="Verdana" w:cstheme="minorHAnsi"/>
        </w:rPr>
      </w:pPr>
      <w:r w:rsidRPr="005207EB">
        <w:rPr>
          <w:rFonts w:ascii="Verdana" w:hAnsi="Verdana" w:cstheme="minorHAnsi"/>
        </w:rPr>
        <w:t>I veicoli sono conformi ai requisiti della più recente fase applicabile dell'omologazione delle emissioni dei veicoli pesanti Euro VI stabilita ai sensi del regolamento (CE) n. 595/2009.</w:t>
      </w:r>
    </w:p>
    <w:p w14:paraId="2E576E1B" w14:textId="3CD9C8F6" w:rsidR="00FB3C9A" w:rsidRDefault="00FB3C9A" w:rsidP="004B16C8">
      <w:pPr>
        <w:spacing w:line="276" w:lineRule="auto"/>
        <w:jc w:val="both"/>
        <w:rPr>
          <w:rFonts w:ascii="Verdana" w:hAnsi="Verdana" w:cstheme="minorHAnsi"/>
          <w:sz w:val="22"/>
          <w:szCs w:val="22"/>
        </w:rPr>
      </w:pPr>
    </w:p>
    <w:p w14:paraId="09FF5505" w14:textId="236D5784" w:rsidR="00163C57" w:rsidRDefault="00163C57" w:rsidP="004B16C8">
      <w:pPr>
        <w:spacing w:line="276" w:lineRule="auto"/>
        <w:jc w:val="both"/>
        <w:rPr>
          <w:rFonts w:ascii="Verdana" w:hAnsi="Verdana" w:cstheme="minorHAnsi"/>
          <w:sz w:val="22"/>
          <w:szCs w:val="22"/>
        </w:rPr>
      </w:pPr>
    </w:p>
    <w:p w14:paraId="34C32D5C" w14:textId="3EAFE40F" w:rsidR="00163C57" w:rsidRDefault="00163C57" w:rsidP="004B16C8">
      <w:pPr>
        <w:spacing w:line="276" w:lineRule="auto"/>
        <w:jc w:val="both"/>
        <w:rPr>
          <w:rFonts w:ascii="Verdana" w:hAnsi="Verdana" w:cstheme="minorHAnsi"/>
          <w:sz w:val="22"/>
          <w:szCs w:val="22"/>
        </w:rPr>
      </w:pPr>
    </w:p>
    <w:p w14:paraId="7CCCF1C8" w14:textId="5D6479CB" w:rsidR="00163C57" w:rsidRDefault="00163C57" w:rsidP="004B16C8">
      <w:pPr>
        <w:spacing w:line="276" w:lineRule="auto"/>
        <w:jc w:val="both"/>
        <w:rPr>
          <w:rFonts w:ascii="Verdana" w:hAnsi="Verdana" w:cstheme="minorHAnsi"/>
          <w:sz w:val="22"/>
          <w:szCs w:val="22"/>
        </w:rPr>
      </w:pPr>
    </w:p>
    <w:p w14:paraId="72A14F90" w14:textId="317639F4" w:rsidR="00163C57" w:rsidRDefault="00163C57" w:rsidP="004B16C8">
      <w:pPr>
        <w:spacing w:line="276" w:lineRule="auto"/>
        <w:jc w:val="both"/>
        <w:rPr>
          <w:rFonts w:ascii="Verdana" w:hAnsi="Verdana" w:cstheme="minorHAnsi"/>
          <w:sz w:val="22"/>
          <w:szCs w:val="22"/>
        </w:rPr>
      </w:pPr>
    </w:p>
    <w:p w14:paraId="1F9A1C2F" w14:textId="77777777" w:rsidR="00163C57" w:rsidRPr="00FF4022" w:rsidRDefault="00163C57" w:rsidP="004B16C8">
      <w:pPr>
        <w:spacing w:line="276" w:lineRule="auto"/>
        <w:jc w:val="both"/>
        <w:rPr>
          <w:rFonts w:ascii="Verdana" w:hAnsi="Verdana" w:cstheme="minorHAnsi"/>
          <w:sz w:val="22"/>
          <w:szCs w:val="22"/>
        </w:rPr>
      </w:pPr>
    </w:p>
    <w:p w14:paraId="334E805A" w14:textId="5E0742FC" w:rsidR="00EA420D" w:rsidRPr="00FF4022" w:rsidRDefault="00D32D15" w:rsidP="00EA420D">
      <w:pPr>
        <w:rPr>
          <w:rFonts w:ascii="Verdana" w:hAnsi="Verdana" w:cstheme="minorHAnsi"/>
          <w:sz w:val="22"/>
          <w:u w:val="single"/>
        </w:rPr>
      </w:pPr>
      <w:r w:rsidRPr="00FF4022">
        <w:rPr>
          <w:rFonts w:ascii="Verdana" w:hAnsi="Verdana" w:cstheme="minorHAnsi"/>
          <w:b/>
          <w:bCs/>
          <w:i/>
          <w:iCs/>
          <w:sz w:val="22"/>
          <w:u w:val="single"/>
        </w:rPr>
        <w:t>T</w:t>
      </w:r>
      <w:r w:rsidR="00EA420D" w:rsidRPr="00FF4022">
        <w:rPr>
          <w:rFonts w:ascii="Verdana" w:hAnsi="Verdana" w:cstheme="minorHAnsi"/>
          <w:b/>
          <w:bCs/>
          <w:i/>
          <w:iCs/>
          <w:sz w:val="22"/>
          <w:u w:val="single"/>
        </w:rPr>
        <w:t>abella 1 - Elementi oggetto di verifica per obiettivo ambientale</w:t>
      </w:r>
    </w:p>
    <w:p w14:paraId="659EC84C" w14:textId="77777777" w:rsidR="00EA420D" w:rsidRPr="00FF4022" w:rsidRDefault="00EA420D" w:rsidP="00EA420D">
      <w:pPr>
        <w:rPr>
          <w:rFonts w:ascii="Verdana" w:hAnsi="Verdana" w:cstheme="minorHAnsi"/>
        </w:rPr>
      </w:pPr>
    </w:p>
    <w:tbl>
      <w:tblPr>
        <w:tblW w:w="988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76"/>
        <w:gridCol w:w="1783"/>
        <w:gridCol w:w="6430"/>
      </w:tblGrid>
      <w:tr w:rsidR="006E68EC" w:rsidRPr="00FF4022" w14:paraId="0192BB71" w14:textId="77777777" w:rsidTr="00E91F3A">
        <w:tc>
          <w:tcPr>
            <w:tcW w:w="1629" w:type="dxa"/>
            <w:shd w:val="clear" w:color="auto" w:fill="auto"/>
            <w:vAlign w:val="center"/>
          </w:tcPr>
          <w:p w14:paraId="1776F004"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Obiettivo ambientale</w:t>
            </w:r>
          </w:p>
        </w:tc>
        <w:tc>
          <w:tcPr>
            <w:tcW w:w="1629" w:type="dxa"/>
            <w:shd w:val="clear" w:color="auto" w:fill="auto"/>
            <w:vAlign w:val="center"/>
          </w:tcPr>
          <w:p w14:paraId="48E28C37"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Elementi oggetto di verifica</w:t>
            </w:r>
          </w:p>
        </w:tc>
        <w:tc>
          <w:tcPr>
            <w:tcW w:w="6631" w:type="dxa"/>
            <w:shd w:val="clear" w:color="auto" w:fill="auto"/>
            <w:vAlign w:val="center"/>
          </w:tcPr>
          <w:p w14:paraId="3629EDC0"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Note</w:t>
            </w:r>
          </w:p>
        </w:tc>
      </w:tr>
      <w:tr w:rsidR="006E68EC" w:rsidRPr="00FF4022" w14:paraId="755F4706" w14:textId="77777777" w:rsidTr="00E91F3A">
        <w:tc>
          <w:tcPr>
            <w:tcW w:w="1629" w:type="dxa"/>
            <w:shd w:val="clear" w:color="auto" w:fill="auto"/>
            <w:vAlign w:val="center"/>
          </w:tcPr>
          <w:p w14:paraId="752D859C"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Mitigazione</w:t>
            </w:r>
          </w:p>
        </w:tc>
        <w:tc>
          <w:tcPr>
            <w:tcW w:w="1629" w:type="dxa"/>
            <w:shd w:val="clear" w:color="auto" w:fill="auto"/>
            <w:vAlign w:val="center"/>
          </w:tcPr>
          <w:p w14:paraId="6E6BAE47" w14:textId="77777777" w:rsidR="00EA420D" w:rsidRPr="00FF4022" w:rsidRDefault="00EA420D" w:rsidP="00E91F3A">
            <w:pPr>
              <w:spacing w:after="120"/>
              <w:rPr>
                <w:rFonts w:ascii="Verdana" w:hAnsi="Verdana" w:cstheme="minorHAnsi"/>
                <w:i/>
                <w:iCs/>
              </w:rPr>
            </w:pPr>
            <w:r w:rsidRPr="00FF4022">
              <w:rPr>
                <w:rFonts w:ascii="Verdana" w:hAnsi="Verdana" w:cstheme="minorHAnsi"/>
                <w:i/>
                <w:iCs/>
              </w:rPr>
              <w:t>Gas serra</w:t>
            </w:r>
          </w:p>
        </w:tc>
        <w:tc>
          <w:tcPr>
            <w:tcW w:w="6631" w:type="dxa"/>
            <w:shd w:val="clear" w:color="auto" w:fill="auto"/>
            <w:vAlign w:val="center"/>
          </w:tcPr>
          <w:p w14:paraId="3409C1DF" w14:textId="77777777" w:rsidR="00EA420D" w:rsidRPr="00FF4022" w:rsidRDefault="00EA420D" w:rsidP="00E91F3A">
            <w:pPr>
              <w:autoSpaceDE w:val="0"/>
              <w:autoSpaceDN w:val="0"/>
              <w:adjustRightInd w:val="0"/>
              <w:spacing w:after="120"/>
              <w:jc w:val="both"/>
              <w:rPr>
                <w:rFonts w:ascii="Verdana" w:hAnsi="Verdana" w:cstheme="minorHAnsi"/>
              </w:rPr>
            </w:pPr>
            <w:r w:rsidRPr="00FF4022">
              <w:rPr>
                <w:rFonts w:ascii="Verdana" w:hAnsi="Verdana" w:cstheme="minorHAnsi"/>
              </w:rPr>
              <w:t>Il progetto è conforme al principio DNSH se non provoca un incremento significativo delle emissioni di CO</w:t>
            </w:r>
            <w:r w:rsidRPr="00FF4022">
              <w:rPr>
                <w:rFonts w:ascii="Verdana" w:hAnsi="Verdana" w:cstheme="minorHAnsi"/>
                <w:vertAlign w:val="subscript"/>
              </w:rPr>
              <w:t xml:space="preserve">2, </w:t>
            </w:r>
            <w:r w:rsidRPr="00FF4022">
              <w:rPr>
                <w:rFonts w:ascii="Verdana" w:hAnsi="Verdana" w:cstheme="minorHAnsi"/>
              </w:rPr>
              <w:t>o se concorre a una loro riduzione.</w:t>
            </w:r>
          </w:p>
        </w:tc>
      </w:tr>
      <w:tr w:rsidR="006E68EC" w:rsidRPr="00FF4022" w14:paraId="26E4B9BA" w14:textId="77777777" w:rsidTr="00E91F3A">
        <w:tc>
          <w:tcPr>
            <w:tcW w:w="1629" w:type="dxa"/>
            <w:shd w:val="clear" w:color="auto" w:fill="auto"/>
            <w:vAlign w:val="center"/>
          </w:tcPr>
          <w:p w14:paraId="6334A82A"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Adattamento</w:t>
            </w:r>
          </w:p>
        </w:tc>
        <w:tc>
          <w:tcPr>
            <w:tcW w:w="1629" w:type="dxa"/>
            <w:shd w:val="clear" w:color="auto" w:fill="auto"/>
            <w:vAlign w:val="center"/>
          </w:tcPr>
          <w:p w14:paraId="76243E2D" w14:textId="77777777" w:rsidR="00EA420D" w:rsidRPr="00FF4022" w:rsidRDefault="00EA420D" w:rsidP="00E91F3A">
            <w:pPr>
              <w:spacing w:after="120"/>
              <w:rPr>
                <w:rFonts w:ascii="Verdana" w:hAnsi="Verdana" w:cstheme="minorHAnsi"/>
                <w:i/>
                <w:iCs/>
              </w:rPr>
            </w:pPr>
            <w:r w:rsidRPr="00FF4022">
              <w:rPr>
                <w:rFonts w:ascii="Verdana" w:hAnsi="Verdana" w:cstheme="minorHAnsi"/>
                <w:i/>
                <w:iCs/>
              </w:rPr>
              <w:t>Impatto sul clima attuale e futuro su sé stessa o sulle persone, sulla natura o sugli attivi</w:t>
            </w:r>
          </w:p>
        </w:tc>
        <w:tc>
          <w:tcPr>
            <w:tcW w:w="6631" w:type="dxa"/>
            <w:shd w:val="clear" w:color="auto" w:fill="auto"/>
            <w:vAlign w:val="center"/>
          </w:tcPr>
          <w:p w14:paraId="67724C44" w14:textId="77777777" w:rsidR="00EA420D" w:rsidRPr="00FF4022" w:rsidRDefault="00EA420D" w:rsidP="00E91F3A">
            <w:pPr>
              <w:autoSpaceDE w:val="0"/>
              <w:autoSpaceDN w:val="0"/>
              <w:adjustRightInd w:val="0"/>
              <w:spacing w:after="120"/>
              <w:jc w:val="both"/>
              <w:rPr>
                <w:rFonts w:ascii="Verdana" w:hAnsi="Verdana" w:cstheme="minorHAnsi"/>
                <w:highlight w:val="yellow"/>
              </w:rPr>
            </w:pPr>
            <w:r w:rsidRPr="00FF4022">
              <w:rPr>
                <w:rFonts w:ascii="Verdana" w:hAnsi="Verdana" w:cstheme="minorHAnsi"/>
              </w:rPr>
              <w:t>Il progetto è conforme al principio DNSH se, ove effettivamente pertinente, è stata effettuata una valutazione dei rischi per il clima che porti, all’occorrenza, che sfoci nell'individuazione, nel vaglio e nell'attuazione delle misure di adattamento del caso.</w:t>
            </w:r>
          </w:p>
        </w:tc>
      </w:tr>
      <w:tr w:rsidR="006E68EC" w:rsidRPr="00FF4022" w14:paraId="1FB991A5" w14:textId="77777777" w:rsidTr="00E91F3A">
        <w:tc>
          <w:tcPr>
            <w:tcW w:w="1629" w:type="dxa"/>
            <w:shd w:val="clear" w:color="auto" w:fill="auto"/>
            <w:vAlign w:val="center"/>
          </w:tcPr>
          <w:p w14:paraId="2FB5D310"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Sostenibilità</w:t>
            </w:r>
          </w:p>
        </w:tc>
        <w:tc>
          <w:tcPr>
            <w:tcW w:w="1629" w:type="dxa"/>
            <w:shd w:val="clear" w:color="auto" w:fill="auto"/>
            <w:vAlign w:val="center"/>
          </w:tcPr>
          <w:p w14:paraId="6D6ED305" w14:textId="77777777" w:rsidR="00EA420D" w:rsidRPr="00FF4022" w:rsidRDefault="00EA420D" w:rsidP="00E91F3A">
            <w:pPr>
              <w:spacing w:after="120"/>
              <w:rPr>
                <w:rFonts w:ascii="Verdana" w:hAnsi="Verdana" w:cstheme="minorHAnsi"/>
                <w:i/>
                <w:iCs/>
              </w:rPr>
            </w:pPr>
            <w:r w:rsidRPr="00FF4022">
              <w:rPr>
                <w:rFonts w:ascii="Verdana" w:hAnsi="Verdana" w:cstheme="minorHAnsi"/>
                <w:i/>
                <w:iCs/>
              </w:rPr>
              <w:t>Uso sostenibile e protezione delle acque e delle risorse marine</w:t>
            </w:r>
          </w:p>
        </w:tc>
        <w:tc>
          <w:tcPr>
            <w:tcW w:w="6631" w:type="dxa"/>
            <w:shd w:val="clear" w:color="auto" w:fill="auto"/>
            <w:vAlign w:val="center"/>
          </w:tcPr>
          <w:p w14:paraId="4FA24839" w14:textId="77777777" w:rsidR="00EA420D" w:rsidRPr="00FF4022" w:rsidRDefault="00EA420D" w:rsidP="00E91F3A">
            <w:pPr>
              <w:autoSpaceDE w:val="0"/>
              <w:autoSpaceDN w:val="0"/>
              <w:adjustRightInd w:val="0"/>
              <w:spacing w:after="120"/>
              <w:jc w:val="both"/>
              <w:rPr>
                <w:rFonts w:ascii="Verdana" w:hAnsi="Verdana" w:cstheme="minorHAnsi"/>
              </w:rPr>
            </w:pPr>
            <w:r w:rsidRPr="00FF4022">
              <w:rPr>
                <w:rFonts w:ascii="Verdana" w:hAnsi="Verdana" w:cstheme="minorHAnsi"/>
              </w:rPr>
              <w:t>Il progetto è conforme al principio DNSH se non nuoce/se concorre al buono stato dei corpi idrici, comprese le acque di superficie e sotterranee.</w:t>
            </w:r>
          </w:p>
        </w:tc>
      </w:tr>
      <w:tr w:rsidR="006E68EC" w:rsidRPr="00FF4022" w14:paraId="58B1D7A9" w14:textId="77777777" w:rsidTr="00E91F3A">
        <w:tc>
          <w:tcPr>
            <w:tcW w:w="1629" w:type="dxa"/>
            <w:shd w:val="clear" w:color="auto" w:fill="auto"/>
            <w:vAlign w:val="center"/>
          </w:tcPr>
          <w:p w14:paraId="2D151FBD"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Economia circolare</w:t>
            </w:r>
          </w:p>
        </w:tc>
        <w:tc>
          <w:tcPr>
            <w:tcW w:w="1629" w:type="dxa"/>
            <w:shd w:val="clear" w:color="auto" w:fill="auto"/>
            <w:vAlign w:val="center"/>
          </w:tcPr>
          <w:p w14:paraId="1E6F635D" w14:textId="77777777" w:rsidR="00EA420D" w:rsidRPr="00FF4022" w:rsidRDefault="00EA420D" w:rsidP="00E91F3A">
            <w:pPr>
              <w:spacing w:after="120"/>
              <w:rPr>
                <w:rFonts w:ascii="Verdana" w:hAnsi="Verdana" w:cstheme="minorHAnsi"/>
                <w:i/>
                <w:iCs/>
              </w:rPr>
            </w:pPr>
            <w:r w:rsidRPr="00FF4022">
              <w:rPr>
                <w:rFonts w:ascii="Verdana" w:hAnsi="Verdana" w:cstheme="minorHAnsi"/>
                <w:i/>
                <w:iCs/>
              </w:rPr>
              <w:t xml:space="preserve">Efficientamento processi e utilizzo prodotti  </w:t>
            </w:r>
          </w:p>
        </w:tc>
        <w:tc>
          <w:tcPr>
            <w:tcW w:w="6631" w:type="dxa"/>
            <w:shd w:val="clear" w:color="auto" w:fill="auto"/>
            <w:vAlign w:val="center"/>
          </w:tcPr>
          <w:p w14:paraId="3243A820" w14:textId="77777777" w:rsidR="00EA420D" w:rsidRPr="00FF4022" w:rsidRDefault="00EA420D" w:rsidP="00E91F3A">
            <w:pPr>
              <w:autoSpaceDE w:val="0"/>
              <w:autoSpaceDN w:val="0"/>
              <w:adjustRightInd w:val="0"/>
              <w:jc w:val="both"/>
              <w:rPr>
                <w:rFonts w:ascii="Verdana" w:hAnsi="Verdana" w:cstheme="minorHAnsi"/>
              </w:rPr>
            </w:pPr>
            <w:r w:rsidRPr="00FF4022">
              <w:rPr>
                <w:rFonts w:ascii="Verdana" w:hAnsi="Verdana" w:cstheme="minorHAnsi"/>
              </w:rPr>
              <w:t>Il progetto è conforme al principio DNSH se:</w:t>
            </w:r>
          </w:p>
          <w:p w14:paraId="68959616" w14:textId="77777777" w:rsidR="00EA420D" w:rsidRPr="00FF4022" w:rsidRDefault="00EA420D" w:rsidP="00E91F3A">
            <w:pPr>
              <w:numPr>
                <w:ilvl w:val="1"/>
                <w:numId w:val="1"/>
              </w:numPr>
              <w:autoSpaceDE w:val="0"/>
              <w:autoSpaceDN w:val="0"/>
              <w:adjustRightInd w:val="0"/>
              <w:ind w:left="284" w:hanging="283"/>
              <w:jc w:val="both"/>
              <w:rPr>
                <w:rFonts w:ascii="Verdana" w:hAnsi="Verdana" w:cstheme="minorHAnsi"/>
              </w:rPr>
            </w:pPr>
            <w:r w:rsidRPr="00FF4022">
              <w:rPr>
                <w:rFonts w:ascii="Verdana" w:hAnsi="Verdana" w:cstheme="minorHAnsi"/>
              </w:rPr>
              <w:t>è efficiente in relazione alle risorse principali usate;</w:t>
            </w:r>
          </w:p>
          <w:p w14:paraId="4DABA840" w14:textId="77777777" w:rsidR="00EA420D" w:rsidRPr="00FF4022" w:rsidRDefault="00EA420D" w:rsidP="00E91F3A">
            <w:pPr>
              <w:numPr>
                <w:ilvl w:val="1"/>
                <w:numId w:val="1"/>
              </w:numPr>
              <w:autoSpaceDE w:val="0"/>
              <w:autoSpaceDN w:val="0"/>
              <w:adjustRightInd w:val="0"/>
              <w:ind w:left="284" w:hanging="283"/>
              <w:jc w:val="both"/>
              <w:rPr>
                <w:rFonts w:ascii="Verdana" w:hAnsi="Verdana" w:cstheme="minorHAnsi"/>
              </w:rPr>
            </w:pPr>
            <w:r w:rsidRPr="00FF4022">
              <w:rPr>
                <w:rFonts w:ascii="Verdana" w:hAnsi="Verdana" w:cstheme="minorHAnsi"/>
              </w:rPr>
              <w:t>non ha effetti negativi/ha effetti positivi su produzione, incenerimento o smaltimento dei rifiuti;</w:t>
            </w:r>
          </w:p>
          <w:p w14:paraId="4D628C6C" w14:textId="77777777" w:rsidR="00EA420D" w:rsidRPr="00FF4022" w:rsidRDefault="00EA420D" w:rsidP="00E91F3A">
            <w:pPr>
              <w:numPr>
                <w:ilvl w:val="1"/>
                <w:numId w:val="1"/>
              </w:numPr>
              <w:autoSpaceDE w:val="0"/>
              <w:autoSpaceDN w:val="0"/>
              <w:adjustRightInd w:val="0"/>
              <w:spacing w:after="120"/>
              <w:ind w:left="284" w:hanging="283"/>
              <w:jc w:val="both"/>
              <w:rPr>
                <w:rFonts w:ascii="Verdana" w:hAnsi="Verdana" w:cstheme="minorHAnsi"/>
              </w:rPr>
            </w:pPr>
            <w:r w:rsidRPr="00FF4022">
              <w:rPr>
                <w:rFonts w:ascii="Verdana" w:hAnsi="Verdana" w:cstheme="minorHAnsi"/>
              </w:rPr>
              <w:t>conduce a un efficientamento dei processi produttivi in termini di minimizzazione e/o valorizzazione dei materiali di scarto, o in termini di efficientamento energetico.</w:t>
            </w:r>
          </w:p>
        </w:tc>
      </w:tr>
      <w:tr w:rsidR="006E68EC" w:rsidRPr="00FF4022" w14:paraId="6E24613B" w14:textId="77777777" w:rsidTr="00E91F3A">
        <w:tc>
          <w:tcPr>
            <w:tcW w:w="1629" w:type="dxa"/>
            <w:shd w:val="clear" w:color="auto" w:fill="auto"/>
            <w:vAlign w:val="center"/>
          </w:tcPr>
          <w:p w14:paraId="39AB52B9"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 xml:space="preserve">Prevenzione e riduzione </w:t>
            </w:r>
          </w:p>
        </w:tc>
        <w:tc>
          <w:tcPr>
            <w:tcW w:w="1629" w:type="dxa"/>
            <w:shd w:val="clear" w:color="auto" w:fill="auto"/>
            <w:vAlign w:val="center"/>
          </w:tcPr>
          <w:p w14:paraId="7C91655C" w14:textId="77777777" w:rsidR="00EA420D" w:rsidRPr="00FF4022" w:rsidRDefault="00EA420D" w:rsidP="00E91F3A">
            <w:pPr>
              <w:spacing w:after="120"/>
              <w:rPr>
                <w:rFonts w:ascii="Verdana" w:hAnsi="Verdana" w:cstheme="minorHAnsi"/>
              </w:rPr>
            </w:pPr>
            <w:r w:rsidRPr="00FF4022">
              <w:rPr>
                <w:rFonts w:ascii="Verdana" w:hAnsi="Verdana" w:cstheme="minorHAnsi"/>
                <w:i/>
                <w:iCs/>
              </w:rPr>
              <w:t>Inquinamento</w:t>
            </w:r>
          </w:p>
        </w:tc>
        <w:tc>
          <w:tcPr>
            <w:tcW w:w="6631" w:type="dxa"/>
            <w:shd w:val="clear" w:color="auto" w:fill="auto"/>
            <w:vAlign w:val="center"/>
          </w:tcPr>
          <w:p w14:paraId="70EA78AC" w14:textId="77777777" w:rsidR="00EA420D" w:rsidRPr="00FF4022" w:rsidRDefault="00EA420D" w:rsidP="00E91F3A">
            <w:pPr>
              <w:tabs>
                <w:tab w:val="left" w:pos="709"/>
              </w:tabs>
              <w:spacing w:after="120"/>
              <w:jc w:val="both"/>
              <w:rPr>
                <w:rFonts w:ascii="Verdana" w:hAnsi="Verdana" w:cstheme="minorHAnsi"/>
              </w:rPr>
            </w:pPr>
            <w:r w:rsidRPr="00FF4022">
              <w:rPr>
                <w:rFonts w:ascii="Verdana" w:hAnsi="Verdana" w:cstheme="minorHAnsi"/>
              </w:rPr>
              <w:t>Il progetto è conforme al principio DNSH se non comporta un aumento significativo/comporta una riduzione o contenimento delle emissioni di sostanze inquinanti nell'aria, nell'acqua o nel suolo in conformità con quanto previsto dalla direttiva 2010/75/UE (direttiva sulle emissioni industriali).</w:t>
            </w:r>
          </w:p>
        </w:tc>
      </w:tr>
      <w:tr w:rsidR="00EA420D" w:rsidRPr="00FF4022" w14:paraId="2F0DC107" w14:textId="77777777" w:rsidTr="00E91F3A">
        <w:tc>
          <w:tcPr>
            <w:tcW w:w="1629" w:type="dxa"/>
            <w:shd w:val="clear" w:color="auto" w:fill="auto"/>
            <w:vAlign w:val="center"/>
          </w:tcPr>
          <w:p w14:paraId="04B3134B" w14:textId="77777777" w:rsidR="00EA420D" w:rsidRPr="00FF4022" w:rsidRDefault="00EA420D" w:rsidP="00E91F3A">
            <w:pPr>
              <w:spacing w:after="120"/>
              <w:jc w:val="center"/>
              <w:rPr>
                <w:rFonts w:ascii="Verdana" w:hAnsi="Verdana" w:cstheme="minorHAnsi"/>
                <w:b/>
                <w:bCs/>
              </w:rPr>
            </w:pPr>
            <w:r w:rsidRPr="00FF4022">
              <w:rPr>
                <w:rFonts w:ascii="Verdana" w:hAnsi="Verdana" w:cstheme="minorHAnsi"/>
                <w:b/>
                <w:bCs/>
              </w:rPr>
              <w:t>Protezione e ripristino</w:t>
            </w:r>
          </w:p>
        </w:tc>
        <w:tc>
          <w:tcPr>
            <w:tcW w:w="1629" w:type="dxa"/>
            <w:shd w:val="clear" w:color="auto" w:fill="auto"/>
            <w:vAlign w:val="center"/>
          </w:tcPr>
          <w:p w14:paraId="64F7C54A" w14:textId="77777777" w:rsidR="00EA420D" w:rsidRPr="00FF4022" w:rsidRDefault="00EA420D" w:rsidP="00E91F3A">
            <w:pPr>
              <w:spacing w:after="120"/>
              <w:rPr>
                <w:rFonts w:ascii="Verdana" w:hAnsi="Verdana" w:cstheme="minorHAnsi"/>
                <w:i/>
                <w:iCs/>
              </w:rPr>
            </w:pPr>
            <w:r w:rsidRPr="00FF4022">
              <w:rPr>
                <w:rFonts w:ascii="Verdana" w:hAnsi="Verdana" w:cstheme="minorHAnsi"/>
                <w:i/>
                <w:iCs/>
              </w:rPr>
              <w:t>Biodiversità ed ecosistemi</w:t>
            </w:r>
          </w:p>
        </w:tc>
        <w:tc>
          <w:tcPr>
            <w:tcW w:w="6631" w:type="dxa"/>
            <w:shd w:val="clear" w:color="auto" w:fill="auto"/>
            <w:vAlign w:val="center"/>
          </w:tcPr>
          <w:p w14:paraId="105885B2" w14:textId="77777777" w:rsidR="00EA420D" w:rsidRPr="00FF4022" w:rsidRDefault="00EA420D" w:rsidP="00E91F3A">
            <w:pPr>
              <w:autoSpaceDE w:val="0"/>
              <w:autoSpaceDN w:val="0"/>
              <w:adjustRightInd w:val="0"/>
              <w:jc w:val="both"/>
              <w:rPr>
                <w:rFonts w:ascii="Verdana" w:hAnsi="Verdana" w:cstheme="minorHAnsi"/>
              </w:rPr>
            </w:pPr>
            <w:r w:rsidRPr="00FF4022">
              <w:rPr>
                <w:rFonts w:ascii="Verdana" w:hAnsi="Verdana" w:cstheme="minorHAnsi"/>
              </w:rPr>
              <w:t>Il progetto è conforme al principio DNSH se non impatta su aree protette e se rispetta le eventuali applicabili prescrizioni previste dalle direttive Habitat e Uccelli.</w:t>
            </w:r>
          </w:p>
        </w:tc>
      </w:tr>
    </w:tbl>
    <w:p w14:paraId="4A21B2B4" w14:textId="27A9750B" w:rsidR="009A313E" w:rsidRDefault="009A313E" w:rsidP="009A313E">
      <w:pPr>
        <w:rPr>
          <w:rFonts w:ascii="Verdana" w:hAnsi="Verdana" w:cstheme="minorHAnsi"/>
        </w:rPr>
      </w:pPr>
    </w:p>
    <w:p w14:paraId="2AEE1A9C" w14:textId="77777777" w:rsidR="00810D9A" w:rsidRPr="00FF4022" w:rsidRDefault="00810D9A" w:rsidP="009A313E">
      <w:pPr>
        <w:rPr>
          <w:rFonts w:ascii="Verdana" w:hAnsi="Verdana" w:cstheme="minorHAnsi"/>
        </w:rPr>
      </w:pPr>
    </w:p>
    <w:p w14:paraId="1387E6F7" w14:textId="77777777" w:rsidR="00EA420D" w:rsidRPr="00FF4022" w:rsidRDefault="00EA420D" w:rsidP="00EA420D">
      <w:pPr>
        <w:spacing w:after="120"/>
        <w:jc w:val="both"/>
        <w:rPr>
          <w:rFonts w:ascii="Verdana" w:hAnsi="Verdana" w:cstheme="minorHAnsi"/>
          <w:b/>
          <w:bCs/>
          <w:i/>
          <w:iCs/>
          <w:sz w:val="22"/>
          <w:u w:val="single"/>
        </w:rPr>
      </w:pPr>
      <w:r w:rsidRPr="00FF4022">
        <w:rPr>
          <w:rFonts w:ascii="Verdana" w:hAnsi="Verdana" w:cstheme="minorHAnsi"/>
          <w:b/>
          <w:bCs/>
          <w:i/>
          <w:iCs/>
          <w:sz w:val="22"/>
          <w:u w:val="single"/>
        </w:rPr>
        <w:t>Tabella 2 - Schede di riferimento circolare MEF 32/2021</w:t>
      </w:r>
    </w:p>
    <w:tbl>
      <w:tblPr>
        <w:tblW w:w="99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FFFFF"/>
        <w:tblLayout w:type="fixed"/>
        <w:tblCellMar>
          <w:left w:w="70" w:type="dxa"/>
          <w:right w:w="70" w:type="dxa"/>
        </w:tblCellMar>
        <w:tblLook w:val="04A0" w:firstRow="1" w:lastRow="0" w:firstColumn="1" w:lastColumn="0" w:noHBand="0" w:noVBand="1"/>
      </w:tblPr>
      <w:tblGrid>
        <w:gridCol w:w="2689"/>
        <w:gridCol w:w="7229"/>
      </w:tblGrid>
      <w:tr w:rsidR="006E68EC" w:rsidRPr="00235763" w14:paraId="7A46CB7F" w14:textId="77777777" w:rsidTr="00E91F3A">
        <w:trPr>
          <w:trHeight w:val="550"/>
        </w:trPr>
        <w:tc>
          <w:tcPr>
            <w:tcW w:w="2689" w:type="dxa"/>
            <w:shd w:val="clear" w:color="auto" w:fill="FFFFFF"/>
            <w:vAlign w:val="center"/>
            <w:hideMark/>
          </w:tcPr>
          <w:p w14:paraId="5FB43C4A" w14:textId="77777777" w:rsidR="00EA420D" w:rsidRPr="00235763" w:rsidRDefault="00EA420D" w:rsidP="00E91F3A">
            <w:pPr>
              <w:jc w:val="center"/>
              <w:rPr>
                <w:rFonts w:ascii="Verdana" w:hAnsi="Verdana" w:cstheme="minorHAnsi"/>
                <w:b/>
                <w:bCs/>
              </w:rPr>
            </w:pPr>
            <w:r w:rsidRPr="00235763">
              <w:rPr>
                <w:rFonts w:ascii="Verdana" w:hAnsi="Verdana" w:cstheme="minorHAnsi"/>
                <w:b/>
                <w:bCs/>
              </w:rPr>
              <w:t>Schede applicabili circolare MEF/32/2021</w:t>
            </w:r>
          </w:p>
        </w:tc>
        <w:tc>
          <w:tcPr>
            <w:tcW w:w="7229" w:type="dxa"/>
            <w:shd w:val="clear" w:color="auto" w:fill="FFFFFF"/>
            <w:vAlign w:val="center"/>
          </w:tcPr>
          <w:p w14:paraId="2079C351" w14:textId="77777777" w:rsidR="00EA420D" w:rsidRPr="00235763" w:rsidRDefault="00EA420D" w:rsidP="00E91F3A">
            <w:pPr>
              <w:jc w:val="center"/>
              <w:rPr>
                <w:rFonts w:ascii="Verdana" w:hAnsi="Verdana" w:cstheme="minorHAnsi"/>
                <w:b/>
                <w:bCs/>
              </w:rPr>
            </w:pPr>
            <w:r w:rsidRPr="00235763">
              <w:rPr>
                <w:rFonts w:ascii="Verdana" w:hAnsi="Verdana" w:cstheme="minorHAnsi"/>
                <w:b/>
                <w:bCs/>
              </w:rPr>
              <w:t>Applicabilità</w:t>
            </w:r>
          </w:p>
        </w:tc>
      </w:tr>
      <w:tr w:rsidR="00235763" w:rsidRPr="00235763" w14:paraId="66AE082F" w14:textId="77777777" w:rsidTr="00E91F3A">
        <w:trPr>
          <w:trHeight w:val="260"/>
        </w:trPr>
        <w:tc>
          <w:tcPr>
            <w:tcW w:w="2689" w:type="dxa"/>
            <w:shd w:val="clear" w:color="auto" w:fill="FFFFFF"/>
            <w:noWrap/>
            <w:vAlign w:val="center"/>
          </w:tcPr>
          <w:p w14:paraId="64D2F1EE" w14:textId="77777777" w:rsidR="00235763" w:rsidRPr="00235763" w:rsidRDefault="00235763" w:rsidP="00235763">
            <w:pPr>
              <w:jc w:val="center"/>
              <w:rPr>
                <w:rFonts w:ascii="Verdana" w:hAnsi="Verdana" w:cstheme="minorHAnsi"/>
                <w:i/>
                <w:iCs/>
              </w:rPr>
            </w:pPr>
            <w:r w:rsidRPr="00235763">
              <w:rPr>
                <w:rFonts w:ascii="Verdana" w:hAnsi="Verdana" w:cstheme="minorHAnsi"/>
                <w:i/>
                <w:iCs/>
              </w:rPr>
              <w:t>Scheda 2</w:t>
            </w:r>
          </w:p>
        </w:tc>
        <w:tc>
          <w:tcPr>
            <w:tcW w:w="7229" w:type="dxa"/>
            <w:shd w:val="clear" w:color="auto" w:fill="FFFFFF"/>
            <w:vAlign w:val="center"/>
          </w:tcPr>
          <w:p w14:paraId="0B98241C" w14:textId="77777777" w:rsidR="00235763" w:rsidRPr="00235763" w:rsidRDefault="00235763" w:rsidP="00235763">
            <w:pPr>
              <w:jc w:val="both"/>
              <w:rPr>
                <w:rFonts w:ascii="Verdana" w:hAnsi="Verdana" w:cstheme="minorHAnsi"/>
              </w:rPr>
            </w:pPr>
            <w:r w:rsidRPr="00235763">
              <w:rPr>
                <w:rFonts w:ascii="Verdana" w:hAnsi="Verdana" w:cstheme="minorHAnsi"/>
              </w:rPr>
              <w:t>Ristrutturazioni e riqualificazioni di edifici residenziali e non</w:t>
            </w:r>
          </w:p>
        </w:tc>
      </w:tr>
      <w:tr w:rsidR="00235763" w:rsidRPr="00235763" w14:paraId="3DD395F3" w14:textId="77777777" w:rsidTr="00E91F3A">
        <w:trPr>
          <w:trHeight w:val="230"/>
        </w:trPr>
        <w:tc>
          <w:tcPr>
            <w:tcW w:w="2689" w:type="dxa"/>
            <w:shd w:val="clear" w:color="auto" w:fill="FFFFFF"/>
            <w:noWrap/>
            <w:vAlign w:val="center"/>
          </w:tcPr>
          <w:p w14:paraId="216451E8" w14:textId="255E4DE1" w:rsidR="00235763" w:rsidRPr="00235763" w:rsidRDefault="00235763" w:rsidP="00235763">
            <w:pPr>
              <w:jc w:val="center"/>
              <w:rPr>
                <w:rFonts w:ascii="Verdana" w:hAnsi="Verdana" w:cstheme="minorHAnsi"/>
                <w:i/>
                <w:iCs/>
              </w:rPr>
            </w:pPr>
            <w:r w:rsidRPr="00235763">
              <w:rPr>
                <w:rFonts w:ascii="Verdana" w:hAnsi="Verdana" w:cstheme="minorHAnsi"/>
                <w:i/>
                <w:iCs/>
              </w:rPr>
              <w:t>Scheda 9</w:t>
            </w:r>
          </w:p>
        </w:tc>
        <w:tc>
          <w:tcPr>
            <w:tcW w:w="7229" w:type="dxa"/>
            <w:shd w:val="clear" w:color="auto" w:fill="FFFFFF"/>
            <w:vAlign w:val="center"/>
          </w:tcPr>
          <w:p w14:paraId="20A6E608" w14:textId="274C3279" w:rsidR="00235763" w:rsidRPr="00235763" w:rsidRDefault="00235763" w:rsidP="00235763">
            <w:pPr>
              <w:jc w:val="both"/>
              <w:rPr>
                <w:rFonts w:ascii="Verdana" w:hAnsi="Verdana" w:cstheme="minorHAnsi"/>
              </w:rPr>
            </w:pPr>
            <w:r w:rsidRPr="00235763">
              <w:rPr>
                <w:rFonts w:ascii="Verdana" w:hAnsi="Verdana" w:cstheme="minorHAnsi"/>
              </w:rPr>
              <w:t>Acquisto di veicoli</w:t>
            </w:r>
          </w:p>
        </w:tc>
      </w:tr>
    </w:tbl>
    <w:p w14:paraId="3DD85D31" w14:textId="77777777" w:rsidR="00EA420D" w:rsidRPr="00235763" w:rsidRDefault="00EA420D" w:rsidP="00486E6C">
      <w:pPr>
        <w:spacing w:line="276" w:lineRule="auto"/>
        <w:jc w:val="both"/>
        <w:rPr>
          <w:rFonts w:ascii="Verdana" w:hAnsi="Verdana" w:cstheme="minorHAnsi"/>
          <w:highlight w:val="yellow"/>
        </w:rPr>
      </w:pPr>
    </w:p>
    <w:sectPr w:rsidR="00EA420D" w:rsidRPr="00235763" w:rsidSect="00D97AB5">
      <w:headerReference w:type="default" r:id="rId11"/>
      <w:pgSz w:w="11906" w:h="16838" w:code="9"/>
      <w:pgMar w:top="289" w:right="849" w:bottom="709" w:left="1134" w:header="1531" w:footer="62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86C18" w14:textId="77777777" w:rsidR="00964E4D" w:rsidRDefault="00964E4D">
      <w:r>
        <w:separator/>
      </w:r>
    </w:p>
  </w:endnote>
  <w:endnote w:type="continuationSeparator" w:id="0">
    <w:p w14:paraId="678FC354" w14:textId="77777777" w:rsidR="00964E4D" w:rsidRDefault="0096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Palace Script MT">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D16B4" w14:textId="77777777" w:rsidR="00964E4D" w:rsidRDefault="00964E4D">
      <w:r>
        <w:separator/>
      </w:r>
    </w:p>
  </w:footnote>
  <w:footnote w:type="continuationSeparator" w:id="0">
    <w:p w14:paraId="2206A7A4" w14:textId="77777777" w:rsidR="00964E4D" w:rsidRDefault="00964E4D">
      <w:r>
        <w:continuationSeparator/>
      </w:r>
    </w:p>
  </w:footnote>
  <w:footnote w:id="1">
    <w:p w14:paraId="6918D1C8" w14:textId="77777777" w:rsidR="00FF4022" w:rsidRPr="00BF79BA" w:rsidRDefault="00FF4022" w:rsidP="00FF4022">
      <w:pPr>
        <w:pStyle w:val="Testonotaapidipagina"/>
        <w:jc w:val="both"/>
        <w:rPr>
          <w:rFonts w:ascii="Verdana" w:hAnsi="Verdana"/>
          <w:sz w:val="14"/>
          <w:szCs w:val="14"/>
        </w:rPr>
      </w:pPr>
      <w:r w:rsidRPr="00BF79BA">
        <w:rPr>
          <w:rStyle w:val="Rimandonotaapidipagina"/>
          <w:rFonts w:ascii="Verdana" w:hAnsi="Verdana"/>
          <w:sz w:val="14"/>
          <w:szCs w:val="14"/>
        </w:rPr>
        <w:footnoteRef/>
      </w:r>
      <w:r w:rsidRPr="00BF79BA">
        <w:rPr>
          <w:rFonts w:ascii="Verdana" w:hAnsi="Verdana"/>
          <w:sz w:val="14"/>
          <w:szCs w:val="14"/>
        </w:rPr>
        <w:t xml:space="preserve"> Ristrutturazioni importanti che attuano la direttiva di 2010/31/UE. La prestazione energetica dell’edificio o della parte ristrutturata che è ammodernata soddisfa i requisiti minimi di prestazione energetica ottimali in funzione dei costi conformemente alla direttiva pertinente.</w:t>
      </w:r>
    </w:p>
  </w:footnote>
  <w:footnote w:id="2">
    <w:p w14:paraId="7834E661" w14:textId="77777777" w:rsidR="00FF4022" w:rsidRPr="00E074AE" w:rsidRDefault="00FF4022" w:rsidP="00FF4022">
      <w:pPr>
        <w:pStyle w:val="Testonotaapidipagina"/>
        <w:jc w:val="both"/>
        <w:rPr>
          <w:sz w:val="16"/>
          <w:szCs w:val="16"/>
        </w:rPr>
      </w:pPr>
      <w:r w:rsidRPr="00BF79BA">
        <w:rPr>
          <w:rStyle w:val="Rimandonotaapidipagina"/>
          <w:rFonts w:ascii="Verdana" w:hAnsi="Verdana"/>
          <w:sz w:val="14"/>
          <w:szCs w:val="14"/>
        </w:rPr>
        <w:footnoteRef/>
      </w:r>
      <w:r w:rsidRPr="00BF79BA">
        <w:rPr>
          <w:rFonts w:ascii="Verdana" w:hAnsi="Verdana"/>
          <w:sz w:val="14"/>
          <w:szCs w:val="14"/>
        </w:rPr>
        <w:t xml:space="preserve"> Il miglioramento del 30% deriva da un’effettiva riduzione del fabbisogno di energia primaria (in cui le riduzioni del fabbisogno di energia primaria netta mediante fonti di energia rinnovabili non sono prese in considerazione) e può essere conseguito mediante una serie di misure entro un massimo di tre anni.</w:t>
      </w:r>
    </w:p>
  </w:footnote>
  <w:footnote w:id="3">
    <w:p w14:paraId="7EC720BB" w14:textId="14F8909A" w:rsidR="00CC210C" w:rsidRPr="00CC210C" w:rsidRDefault="00CC210C" w:rsidP="00CC210C">
      <w:pPr>
        <w:autoSpaceDE w:val="0"/>
        <w:autoSpaceDN w:val="0"/>
        <w:adjustRightInd w:val="0"/>
        <w:rPr>
          <w:rFonts w:asciiTheme="minorHAnsi" w:hAnsiTheme="minorHAnsi" w:cstheme="minorHAnsi"/>
        </w:rPr>
      </w:pPr>
      <w:r w:rsidRPr="00CC210C">
        <w:rPr>
          <w:rStyle w:val="Rimandonotaapidipagina"/>
          <w:rFonts w:asciiTheme="minorHAnsi" w:hAnsiTheme="minorHAnsi" w:cstheme="minorHAnsi"/>
          <w:sz w:val="14"/>
          <w:szCs w:val="14"/>
        </w:rPr>
        <w:footnoteRef/>
      </w:r>
      <w:r w:rsidRPr="00CC210C">
        <w:rPr>
          <w:rFonts w:asciiTheme="minorHAnsi" w:hAnsiTheme="minorHAnsi" w:cstheme="minorHAnsi"/>
          <w:sz w:val="14"/>
          <w:szCs w:val="14"/>
        </w:rPr>
        <w:t xml:space="preserve"> Direttiva 2009/33/CE del Parlamento europeo e del Consiglio, del 23 aprile 2009, relativa alla promozione di veicoli puliti e a basso consumo energetico nel trasporto su strada (GU L 120 del 15.5.2009, pag.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039A" w14:textId="48C71E19" w:rsidR="00343FAB" w:rsidRDefault="00FF4022" w:rsidP="00D97AB5">
    <w:pPr>
      <w:spacing w:line="276" w:lineRule="auto"/>
      <w:ind w:right="-6"/>
      <w:jc w:val="center"/>
      <w:rPr>
        <w:rFonts w:ascii="Verdana" w:hAnsi="Verdana"/>
        <w:color w:val="800000"/>
        <w:sz w:val="16"/>
        <w:szCs w:val="16"/>
      </w:rPr>
    </w:pPr>
    <w:r>
      <w:rPr>
        <w:noProof/>
      </w:rPr>
      <w:drawing>
        <wp:anchor distT="0" distB="0" distL="114300" distR="114300" simplePos="0" relativeHeight="251663360" behindDoc="0" locked="0" layoutInCell="1" allowOverlap="1" wp14:anchorId="1F60461F" wp14:editId="646AAC03">
          <wp:simplePos x="0" y="0"/>
          <wp:positionH relativeFrom="column">
            <wp:posOffset>4051935</wp:posOffset>
          </wp:positionH>
          <wp:positionV relativeFrom="paragraph">
            <wp:posOffset>-715010</wp:posOffset>
          </wp:positionV>
          <wp:extent cx="1323975" cy="610870"/>
          <wp:effectExtent l="0" t="0" r="9525" b="0"/>
          <wp:wrapThrough wrapText="bothSides">
            <wp:wrapPolygon edited="0">
              <wp:start x="0" y="0"/>
              <wp:lineTo x="0" y="20881"/>
              <wp:lineTo x="21445" y="20881"/>
              <wp:lineTo x="21445" y="0"/>
              <wp:lineTo x="0" y="0"/>
            </wp:wrapPolygon>
          </wp:wrapThrough>
          <wp:docPr id="12" name="Immagine 12"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6108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7AB5">
      <w:rPr>
        <w:rFonts w:asciiTheme="minorHAnsi" w:hAnsiTheme="minorHAnsi" w:cstheme="minorHAnsi"/>
        <w:noProof/>
      </w:rPr>
      <w:drawing>
        <wp:anchor distT="0" distB="0" distL="114300" distR="114300" simplePos="0" relativeHeight="251659264" behindDoc="0" locked="0" layoutInCell="1" allowOverlap="1" wp14:anchorId="34D4836A" wp14:editId="0D8C4C46">
          <wp:simplePos x="0" y="0"/>
          <wp:positionH relativeFrom="margin">
            <wp:posOffset>-581025</wp:posOffset>
          </wp:positionH>
          <wp:positionV relativeFrom="paragraph">
            <wp:posOffset>-715010</wp:posOffset>
          </wp:positionV>
          <wp:extent cx="1819910" cy="546100"/>
          <wp:effectExtent l="0" t="0" r="8890" b="635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910" cy="546100"/>
                  </a:xfrm>
                  <a:prstGeom prst="rect">
                    <a:avLst/>
                  </a:prstGeom>
                  <a:noFill/>
                  <a:ln>
                    <a:noFill/>
                  </a:ln>
                </pic:spPr>
              </pic:pic>
            </a:graphicData>
          </a:graphic>
        </wp:anchor>
      </w:drawing>
    </w:r>
    <w:r w:rsidR="00D97AB5">
      <w:rPr>
        <w:rFonts w:asciiTheme="minorHAnsi" w:hAnsiTheme="minorHAnsi" w:cstheme="minorHAnsi"/>
        <w:noProof/>
      </w:rPr>
      <w:drawing>
        <wp:anchor distT="0" distB="0" distL="114300" distR="114300" simplePos="0" relativeHeight="251661312" behindDoc="0" locked="0" layoutInCell="1" allowOverlap="1" wp14:anchorId="52810829" wp14:editId="4395C004">
          <wp:simplePos x="0" y="0"/>
          <wp:positionH relativeFrom="margin">
            <wp:posOffset>5586730</wp:posOffset>
          </wp:positionH>
          <wp:positionV relativeFrom="paragraph">
            <wp:posOffset>-772160</wp:posOffset>
          </wp:positionV>
          <wp:extent cx="1104900" cy="72517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IPAAF.png"/>
                  <pic:cNvPicPr/>
                </pic:nvPicPr>
                <pic:blipFill>
                  <a:blip r:embed="rId3">
                    <a:extLst>
                      <a:ext uri="{28A0092B-C50C-407E-A947-70E740481C1C}">
                        <a14:useLocalDpi xmlns:a14="http://schemas.microsoft.com/office/drawing/2010/main" val="0"/>
                      </a:ext>
                    </a:extLst>
                  </a:blip>
                  <a:stretch>
                    <a:fillRect/>
                  </a:stretch>
                </pic:blipFill>
                <pic:spPr>
                  <a:xfrm>
                    <a:off x="0" y="0"/>
                    <a:ext cx="1104900" cy="725170"/>
                  </a:xfrm>
                  <a:prstGeom prst="rect">
                    <a:avLst/>
                  </a:prstGeom>
                </pic:spPr>
              </pic:pic>
            </a:graphicData>
          </a:graphic>
        </wp:anchor>
      </w:drawing>
    </w:r>
    <w:r w:rsidR="00D97AB5" w:rsidRPr="00FE735C">
      <w:rPr>
        <w:noProof/>
        <w:color w:val="0070C0"/>
        <w:sz w:val="54"/>
      </w:rPr>
      <w:drawing>
        <wp:anchor distT="0" distB="0" distL="114300" distR="114300" simplePos="0" relativeHeight="251662336" behindDoc="0" locked="0" layoutInCell="1" allowOverlap="1" wp14:anchorId="31CF702C" wp14:editId="381880F5">
          <wp:simplePos x="0" y="0"/>
          <wp:positionH relativeFrom="page">
            <wp:posOffset>3521075</wp:posOffset>
          </wp:positionH>
          <wp:positionV relativeFrom="paragraph">
            <wp:posOffset>-770890</wp:posOffset>
          </wp:positionV>
          <wp:extent cx="518160" cy="541655"/>
          <wp:effectExtent l="0" t="0" r="0" b="0"/>
          <wp:wrapNone/>
          <wp:docPr id="1" name="Immagine 1" descr="Immagine che contiene testo, porcellana, ceramica,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porcellana, ceramica, clipart&#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8160" cy="541655"/>
                  </a:xfrm>
                  <a:prstGeom prst="rect">
                    <a:avLst/>
                  </a:prstGeom>
                  <a:noFill/>
                  <a:ln>
                    <a:noFill/>
                  </a:ln>
                </pic:spPr>
              </pic:pic>
            </a:graphicData>
          </a:graphic>
        </wp:anchor>
      </w:drawing>
    </w:r>
    <w:r w:rsidR="00AF6569" w:rsidRPr="0085468F">
      <w:rPr>
        <w:rFonts w:ascii="Palace Script MT" w:hAnsi="Palace Script MT"/>
        <w:color w:val="003399"/>
        <w:sz w:val="52"/>
        <w:szCs w:val="68"/>
      </w:rPr>
      <w:t>Ministero delle politiche agricole alimentari e forestali</w:t>
    </w:r>
    <w:r w:rsidR="00343F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0224"/>
    <w:multiLevelType w:val="hybridMultilevel"/>
    <w:tmpl w:val="35D0CB50"/>
    <w:lvl w:ilvl="0" w:tplc="99E4462C">
      <w:start w:val="2"/>
      <w:numFmt w:val="bullet"/>
      <w:lvlText w:val="-"/>
      <w:lvlJc w:val="left"/>
      <w:pPr>
        <w:ind w:left="720" w:hanging="360"/>
      </w:pPr>
      <w:rPr>
        <w:rFonts w:ascii="Times New Roman" w:eastAsia="Times New Roman" w:hAnsi="Times New Roman" w:cs="Times New Roman" w:hint="default"/>
      </w:rPr>
    </w:lvl>
    <w:lvl w:ilvl="1" w:tplc="5CAED9E4">
      <w:start w:val="1"/>
      <w:numFmt w:val="lowerRoman"/>
      <w:lvlText w:val="%2)"/>
      <w:lvlJc w:val="left"/>
      <w:pPr>
        <w:ind w:left="720" w:hanging="360"/>
      </w:pPr>
      <w:rPr>
        <w:rFonts w:hint="default"/>
      </w:rPr>
    </w:lvl>
    <w:lvl w:ilvl="2" w:tplc="0410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CE2E65"/>
    <w:multiLevelType w:val="hybridMultilevel"/>
    <w:tmpl w:val="7E027B96"/>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01">
      <w:start w:val="1"/>
      <w:numFmt w:val="bullet"/>
      <w:lvlText w:val=""/>
      <w:lvlJc w:val="left"/>
      <w:pPr>
        <w:ind w:left="2340" w:hanging="36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391FCD"/>
    <w:multiLevelType w:val="hybridMultilevel"/>
    <w:tmpl w:val="B3CACA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DE54FAC"/>
    <w:multiLevelType w:val="hybridMultilevel"/>
    <w:tmpl w:val="06CC2B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7AB3558"/>
    <w:multiLevelType w:val="hybridMultilevel"/>
    <w:tmpl w:val="87DEC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175D6E"/>
    <w:multiLevelType w:val="hybridMultilevel"/>
    <w:tmpl w:val="2FAAF148"/>
    <w:lvl w:ilvl="0" w:tplc="FFFFFFFF">
      <w:start w:val="2"/>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0410000F">
      <w:start w:val="1"/>
      <w:numFmt w:val="decimal"/>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E6771E"/>
    <w:multiLevelType w:val="hybridMultilevel"/>
    <w:tmpl w:val="31E80748"/>
    <w:lvl w:ilvl="0" w:tplc="0410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04100005">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2AA1C02"/>
    <w:multiLevelType w:val="hybridMultilevel"/>
    <w:tmpl w:val="7228CAF6"/>
    <w:lvl w:ilvl="0" w:tplc="FFFFFFFF">
      <w:start w:val="2"/>
      <w:numFmt w:val="bullet"/>
      <w:lvlText w:val="-"/>
      <w:lvlJc w:val="left"/>
      <w:pPr>
        <w:ind w:left="720" w:hanging="360"/>
      </w:pPr>
      <w:rPr>
        <w:rFonts w:ascii="Times New Roman" w:eastAsia="Times New Roman" w:hAnsi="Times New Roman" w:cs="Times New Roman" w:hint="default"/>
      </w:rPr>
    </w:lvl>
    <w:lvl w:ilvl="1" w:tplc="C8F039FE">
      <w:start w:val="2"/>
      <w:numFmt w:val="bullet"/>
      <w:lvlText w:val="-"/>
      <w:lvlJc w:val="left"/>
      <w:pPr>
        <w:ind w:left="720" w:hanging="360"/>
      </w:pPr>
      <w:rPr>
        <w:rFonts w:ascii="Times New Roman" w:eastAsia="Times New Roman" w:hAnsi="Times New Roman" w:cs="Times New Roman" w:hint="default"/>
        <w:color w:val="auto"/>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814A18"/>
    <w:multiLevelType w:val="hybridMultilevel"/>
    <w:tmpl w:val="A19A3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C00A6D"/>
    <w:multiLevelType w:val="hybridMultilevel"/>
    <w:tmpl w:val="5D781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A116EA"/>
    <w:multiLevelType w:val="hybridMultilevel"/>
    <w:tmpl w:val="7AD6FE0A"/>
    <w:lvl w:ilvl="0" w:tplc="FFFFFFFF">
      <w:start w:val="2"/>
      <w:numFmt w:val="bullet"/>
      <w:lvlText w:val="-"/>
      <w:lvlJc w:val="left"/>
      <w:pPr>
        <w:ind w:left="720" w:hanging="360"/>
      </w:pPr>
      <w:rPr>
        <w:rFonts w:ascii="Times New Roman" w:eastAsia="Times New Roman" w:hAnsi="Times New Roman" w:cs="Times New Roman" w:hint="default"/>
      </w:rPr>
    </w:lvl>
    <w:lvl w:ilvl="1" w:tplc="FFFFFFFF">
      <w:start w:val="2"/>
      <w:numFmt w:val="bullet"/>
      <w:lvlText w:val="-"/>
      <w:lvlJc w:val="left"/>
      <w:pPr>
        <w:ind w:left="720" w:hanging="360"/>
      </w:pPr>
      <w:rPr>
        <w:rFonts w:ascii="Times New Roman" w:eastAsia="Times New Roman" w:hAnsi="Times New Roman" w:cs="Times New Roman" w:hint="default"/>
        <w:color w:val="auto"/>
      </w:rPr>
    </w:lvl>
    <w:lvl w:ilvl="2" w:tplc="FFFFFFFF">
      <w:start w:val="1"/>
      <w:numFmt w:val="bullet"/>
      <w:lvlText w:val=""/>
      <w:lvlJc w:val="left"/>
      <w:pPr>
        <w:ind w:left="2160" w:hanging="360"/>
      </w:pPr>
      <w:rPr>
        <w:rFonts w:ascii="Wingdings" w:hAnsi="Wingdings" w:hint="default"/>
      </w:rPr>
    </w:lvl>
    <w:lvl w:ilvl="3" w:tplc="FFFFFFFF">
      <w:start w:val="2"/>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48B3A54"/>
    <w:multiLevelType w:val="hybridMultilevel"/>
    <w:tmpl w:val="DF369D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50478AF"/>
    <w:multiLevelType w:val="hybridMultilevel"/>
    <w:tmpl w:val="5426ADB0"/>
    <w:lvl w:ilvl="0" w:tplc="5CAED9E4">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5F639A"/>
    <w:multiLevelType w:val="hybridMultilevel"/>
    <w:tmpl w:val="FFDAE2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D6309E8"/>
    <w:multiLevelType w:val="hybridMultilevel"/>
    <w:tmpl w:val="950A3FC0"/>
    <w:lvl w:ilvl="0" w:tplc="FFFFFFFF">
      <w:start w:val="2"/>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36F0E6D"/>
    <w:multiLevelType w:val="hybridMultilevel"/>
    <w:tmpl w:val="1058469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00005">
      <w:start w:val="1"/>
      <w:numFmt w:val="bullet"/>
      <w:lvlText w:val=""/>
      <w:lvlJc w:val="left"/>
      <w:pPr>
        <w:ind w:left="2340" w:hanging="360"/>
      </w:pPr>
      <w:rPr>
        <w:rFonts w:ascii="Wingdings" w:hAnsi="Wingding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222968"/>
    <w:multiLevelType w:val="hybridMultilevel"/>
    <w:tmpl w:val="4EFEC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B35FB7"/>
    <w:multiLevelType w:val="hybridMultilevel"/>
    <w:tmpl w:val="72EA1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6441BB"/>
    <w:multiLevelType w:val="hybridMultilevel"/>
    <w:tmpl w:val="E5EC29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700530FD"/>
    <w:multiLevelType w:val="hybridMultilevel"/>
    <w:tmpl w:val="7406866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8774E3B"/>
    <w:multiLevelType w:val="hybridMultilevel"/>
    <w:tmpl w:val="E65E4720"/>
    <w:lvl w:ilvl="0" w:tplc="04100005">
      <w:start w:val="1"/>
      <w:numFmt w:val="bullet"/>
      <w:lvlText w:val=""/>
      <w:lvlJc w:val="left"/>
      <w:pPr>
        <w:ind w:left="2080" w:hanging="360"/>
      </w:pPr>
      <w:rPr>
        <w:rFonts w:ascii="Wingdings" w:hAnsi="Wingdings" w:hint="default"/>
      </w:rPr>
    </w:lvl>
    <w:lvl w:ilvl="1" w:tplc="04100003" w:tentative="1">
      <w:start w:val="1"/>
      <w:numFmt w:val="bullet"/>
      <w:lvlText w:val="o"/>
      <w:lvlJc w:val="left"/>
      <w:pPr>
        <w:ind w:left="2800" w:hanging="360"/>
      </w:pPr>
      <w:rPr>
        <w:rFonts w:ascii="Courier New" w:hAnsi="Courier New" w:cs="Courier New" w:hint="default"/>
      </w:rPr>
    </w:lvl>
    <w:lvl w:ilvl="2" w:tplc="04100005">
      <w:start w:val="1"/>
      <w:numFmt w:val="bullet"/>
      <w:lvlText w:val=""/>
      <w:lvlJc w:val="left"/>
      <w:pPr>
        <w:ind w:left="3520" w:hanging="360"/>
      </w:pPr>
      <w:rPr>
        <w:rFonts w:ascii="Wingdings" w:hAnsi="Wingdings" w:hint="default"/>
      </w:rPr>
    </w:lvl>
    <w:lvl w:ilvl="3" w:tplc="04100001" w:tentative="1">
      <w:start w:val="1"/>
      <w:numFmt w:val="bullet"/>
      <w:lvlText w:val=""/>
      <w:lvlJc w:val="left"/>
      <w:pPr>
        <w:ind w:left="4240" w:hanging="360"/>
      </w:pPr>
      <w:rPr>
        <w:rFonts w:ascii="Symbol" w:hAnsi="Symbol" w:hint="default"/>
      </w:rPr>
    </w:lvl>
    <w:lvl w:ilvl="4" w:tplc="04100003" w:tentative="1">
      <w:start w:val="1"/>
      <w:numFmt w:val="bullet"/>
      <w:lvlText w:val="o"/>
      <w:lvlJc w:val="left"/>
      <w:pPr>
        <w:ind w:left="4960" w:hanging="360"/>
      </w:pPr>
      <w:rPr>
        <w:rFonts w:ascii="Courier New" w:hAnsi="Courier New" w:cs="Courier New" w:hint="default"/>
      </w:rPr>
    </w:lvl>
    <w:lvl w:ilvl="5" w:tplc="04100005" w:tentative="1">
      <w:start w:val="1"/>
      <w:numFmt w:val="bullet"/>
      <w:lvlText w:val=""/>
      <w:lvlJc w:val="left"/>
      <w:pPr>
        <w:ind w:left="5680" w:hanging="360"/>
      </w:pPr>
      <w:rPr>
        <w:rFonts w:ascii="Wingdings" w:hAnsi="Wingdings" w:hint="default"/>
      </w:rPr>
    </w:lvl>
    <w:lvl w:ilvl="6" w:tplc="04100001" w:tentative="1">
      <w:start w:val="1"/>
      <w:numFmt w:val="bullet"/>
      <w:lvlText w:val=""/>
      <w:lvlJc w:val="left"/>
      <w:pPr>
        <w:ind w:left="6400" w:hanging="360"/>
      </w:pPr>
      <w:rPr>
        <w:rFonts w:ascii="Symbol" w:hAnsi="Symbol" w:hint="default"/>
      </w:rPr>
    </w:lvl>
    <w:lvl w:ilvl="7" w:tplc="04100003" w:tentative="1">
      <w:start w:val="1"/>
      <w:numFmt w:val="bullet"/>
      <w:lvlText w:val="o"/>
      <w:lvlJc w:val="left"/>
      <w:pPr>
        <w:ind w:left="7120" w:hanging="360"/>
      </w:pPr>
      <w:rPr>
        <w:rFonts w:ascii="Courier New" w:hAnsi="Courier New" w:cs="Courier New" w:hint="default"/>
      </w:rPr>
    </w:lvl>
    <w:lvl w:ilvl="8" w:tplc="04100005" w:tentative="1">
      <w:start w:val="1"/>
      <w:numFmt w:val="bullet"/>
      <w:lvlText w:val=""/>
      <w:lvlJc w:val="left"/>
      <w:pPr>
        <w:ind w:left="7840" w:hanging="360"/>
      </w:pPr>
      <w:rPr>
        <w:rFonts w:ascii="Wingdings" w:hAnsi="Wingdings" w:hint="default"/>
      </w:rPr>
    </w:lvl>
  </w:abstractNum>
  <w:abstractNum w:abstractNumId="21" w15:restartNumberingAfterBreak="0">
    <w:nsid w:val="79521C45"/>
    <w:multiLevelType w:val="hybridMultilevel"/>
    <w:tmpl w:val="D3143C70"/>
    <w:lvl w:ilvl="0" w:tplc="EC9CCDA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7B3144"/>
    <w:multiLevelType w:val="hybridMultilevel"/>
    <w:tmpl w:val="0268A6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79A467F3"/>
    <w:multiLevelType w:val="hybridMultilevel"/>
    <w:tmpl w:val="5B7615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CCF748A"/>
    <w:multiLevelType w:val="hybridMultilevel"/>
    <w:tmpl w:val="2978552A"/>
    <w:lvl w:ilvl="0" w:tplc="FFFFFFFF">
      <w:start w:val="2"/>
      <w:numFmt w:val="bullet"/>
      <w:lvlText w:val="-"/>
      <w:lvlJc w:val="left"/>
      <w:pPr>
        <w:ind w:left="720" w:hanging="360"/>
      </w:pPr>
      <w:rPr>
        <w:rFonts w:ascii="Times New Roman" w:eastAsia="Times New Roman" w:hAnsi="Times New Roman" w:cs="Times New Roman" w:hint="default"/>
      </w:rPr>
    </w:lvl>
    <w:lvl w:ilvl="1" w:tplc="FFFFFFFF">
      <w:start w:val="2"/>
      <w:numFmt w:val="bullet"/>
      <w:lvlText w:val="-"/>
      <w:lvlJc w:val="left"/>
      <w:pPr>
        <w:ind w:left="720" w:hanging="360"/>
      </w:pPr>
      <w:rPr>
        <w:rFonts w:ascii="Times New Roman" w:eastAsia="Times New Roman" w:hAnsi="Times New Roman" w:cs="Times New Roman" w:hint="default"/>
        <w:color w:val="auto"/>
      </w:rPr>
    </w:lvl>
    <w:lvl w:ilvl="2" w:tplc="FFFFFFFF">
      <w:start w:val="2"/>
      <w:numFmt w:val="bullet"/>
      <w:lvlText w:val="-"/>
      <w:lvlJc w:val="left"/>
      <w:pPr>
        <w:ind w:left="2160" w:hanging="360"/>
      </w:pPr>
      <w:rPr>
        <w:rFonts w:ascii="Times New Roman" w:eastAsia="Times New Roman" w:hAnsi="Times New Roman" w:cs="Times New Roman"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20254405">
    <w:abstractNumId w:val="7"/>
  </w:num>
  <w:num w:numId="2" w16cid:durableId="2147311572">
    <w:abstractNumId w:val="20"/>
  </w:num>
  <w:num w:numId="3" w16cid:durableId="1375230477">
    <w:abstractNumId w:val="24"/>
  </w:num>
  <w:num w:numId="4" w16cid:durableId="367294162">
    <w:abstractNumId w:val="10"/>
  </w:num>
  <w:num w:numId="5" w16cid:durableId="2057004349">
    <w:abstractNumId w:val="16"/>
  </w:num>
  <w:num w:numId="6" w16cid:durableId="1097021261">
    <w:abstractNumId w:val="0"/>
  </w:num>
  <w:num w:numId="7" w16cid:durableId="602109083">
    <w:abstractNumId w:val="12"/>
  </w:num>
  <w:num w:numId="8" w16cid:durableId="281495751">
    <w:abstractNumId w:val="21"/>
  </w:num>
  <w:num w:numId="9" w16cid:durableId="843132554">
    <w:abstractNumId w:val="5"/>
  </w:num>
  <w:num w:numId="10" w16cid:durableId="662009259">
    <w:abstractNumId w:val="14"/>
  </w:num>
  <w:num w:numId="11" w16cid:durableId="1313490098">
    <w:abstractNumId w:val="6"/>
  </w:num>
  <w:num w:numId="12" w16cid:durableId="609969252">
    <w:abstractNumId w:val="11"/>
  </w:num>
  <w:num w:numId="13" w16cid:durableId="1472020988">
    <w:abstractNumId w:val="19"/>
  </w:num>
  <w:num w:numId="14" w16cid:durableId="700201533">
    <w:abstractNumId w:val="2"/>
  </w:num>
  <w:num w:numId="15" w16cid:durableId="557908138">
    <w:abstractNumId w:val="4"/>
  </w:num>
  <w:num w:numId="16" w16cid:durableId="1371539966">
    <w:abstractNumId w:val="9"/>
  </w:num>
  <w:num w:numId="17" w16cid:durableId="937758848">
    <w:abstractNumId w:val="8"/>
  </w:num>
  <w:num w:numId="18" w16cid:durableId="1024093374">
    <w:abstractNumId w:val="18"/>
  </w:num>
  <w:num w:numId="19" w16cid:durableId="2072532837">
    <w:abstractNumId w:val="23"/>
  </w:num>
  <w:num w:numId="20" w16cid:durableId="695345645">
    <w:abstractNumId w:val="13"/>
  </w:num>
  <w:num w:numId="21" w16cid:durableId="1720200948">
    <w:abstractNumId w:val="17"/>
  </w:num>
  <w:num w:numId="22" w16cid:durableId="1013339556">
    <w:abstractNumId w:val="3"/>
  </w:num>
  <w:num w:numId="23" w16cid:durableId="1208254094">
    <w:abstractNumId w:val="22"/>
  </w:num>
  <w:num w:numId="24" w16cid:durableId="32390990">
    <w:abstractNumId w:val="1"/>
  </w:num>
  <w:num w:numId="25" w16cid:durableId="152936866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23E2"/>
    <w:rsid w:val="0000745A"/>
    <w:rsid w:val="0001196C"/>
    <w:rsid w:val="00013722"/>
    <w:rsid w:val="000144F9"/>
    <w:rsid w:val="0001556B"/>
    <w:rsid w:val="0001626D"/>
    <w:rsid w:val="00023CDB"/>
    <w:rsid w:val="000315C5"/>
    <w:rsid w:val="0003260B"/>
    <w:rsid w:val="00032CDA"/>
    <w:rsid w:val="00033020"/>
    <w:rsid w:val="00034B9A"/>
    <w:rsid w:val="0004251A"/>
    <w:rsid w:val="00045B70"/>
    <w:rsid w:val="00052EA5"/>
    <w:rsid w:val="00053315"/>
    <w:rsid w:val="0005396C"/>
    <w:rsid w:val="00053DB1"/>
    <w:rsid w:val="00057FE3"/>
    <w:rsid w:val="00062777"/>
    <w:rsid w:val="0006306B"/>
    <w:rsid w:val="00063557"/>
    <w:rsid w:val="00063FBA"/>
    <w:rsid w:val="00065B4A"/>
    <w:rsid w:val="0006682B"/>
    <w:rsid w:val="00067445"/>
    <w:rsid w:val="000737E1"/>
    <w:rsid w:val="00074C43"/>
    <w:rsid w:val="000805DB"/>
    <w:rsid w:val="000828DF"/>
    <w:rsid w:val="00083505"/>
    <w:rsid w:val="00085B4E"/>
    <w:rsid w:val="00090A01"/>
    <w:rsid w:val="00091F07"/>
    <w:rsid w:val="00096175"/>
    <w:rsid w:val="00097C11"/>
    <w:rsid w:val="000A1AC0"/>
    <w:rsid w:val="000A1B5F"/>
    <w:rsid w:val="000A31DF"/>
    <w:rsid w:val="000A3ABE"/>
    <w:rsid w:val="000A4FF9"/>
    <w:rsid w:val="000A62FA"/>
    <w:rsid w:val="000A7B7E"/>
    <w:rsid w:val="000B1206"/>
    <w:rsid w:val="000B1382"/>
    <w:rsid w:val="000B2DB0"/>
    <w:rsid w:val="000B4D3A"/>
    <w:rsid w:val="000C53DE"/>
    <w:rsid w:val="000C63DC"/>
    <w:rsid w:val="000C6F2F"/>
    <w:rsid w:val="000C7168"/>
    <w:rsid w:val="000C786A"/>
    <w:rsid w:val="000C7E79"/>
    <w:rsid w:val="000D15FF"/>
    <w:rsid w:val="000D5F29"/>
    <w:rsid w:val="000D73FD"/>
    <w:rsid w:val="000D75A3"/>
    <w:rsid w:val="000D7B72"/>
    <w:rsid w:val="000E2BE5"/>
    <w:rsid w:val="000E3986"/>
    <w:rsid w:val="000E44C5"/>
    <w:rsid w:val="000E760C"/>
    <w:rsid w:val="000E7DDE"/>
    <w:rsid w:val="000E7E17"/>
    <w:rsid w:val="000F291A"/>
    <w:rsid w:val="000F2AD0"/>
    <w:rsid w:val="000F433F"/>
    <w:rsid w:val="000F574E"/>
    <w:rsid w:val="000F68E9"/>
    <w:rsid w:val="000F6C4E"/>
    <w:rsid w:val="00100E2A"/>
    <w:rsid w:val="0010533F"/>
    <w:rsid w:val="00110CBB"/>
    <w:rsid w:val="0011101D"/>
    <w:rsid w:val="00111995"/>
    <w:rsid w:val="001129A8"/>
    <w:rsid w:val="00113BB0"/>
    <w:rsid w:val="00113BDB"/>
    <w:rsid w:val="001148FA"/>
    <w:rsid w:val="0012117B"/>
    <w:rsid w:val="001238D4"/>
    <w:rsid w:val="00126484"/>
    <w:rsid w:val="0013092C"/>
    <w:rsid w:val="001311FC"/>
    <w:rsid w:val="00131C51"/>
    <w:rsid w:val="0013419D"/>
    <w:rsid w:val="00134BBC"/>
    <w:rsid w:val="001406F4"/>
    <w:rsid w:val="00142596"/>
    <w:rsid w:val="001453AA"/>
    <w:rsid w:val="00145545"/>
    <w:rsid w:val="001462C6"/>
    <w:rsid w:val="00146CF1"/>
    <w:rsid w:val="0016269F"/>
    <w:rsid w:val="00163C57"/>
    <w:rsid w:val="001661C6"/>
    <w:rsid w:val="001703DB"/>
    <w:rsid w:val="00170ECA"/>
    <w:rsid w:val="00171CB5"/>
    <w:rsid w:val="00173619"/>
    <w:rsid w:val="001742FB"/>
    <w:rsid w:val="00174AF6"/>
    <w:rsid w:val="00175174"/>
    <w:rsid w:val="00177A70"/>
    <w:rsid w:val="00177EB1"/>
    <w:rsid w:val="0018028D"/>
    <w:rsid w:val="0018124F"/>
    <w:rsid w:val="00181D66"/>
    <w:rsid w:val="00182AE9"/>
    <w:rsid w:val="0018435B"/>
    <w:rsid w:val="001871ED"/>
    <w:rsid w:val="00191444"/>
    <w:rsid w:val="001944EE"/>
    <w:rsid w:val="0019549A"/>
    <w:rsid w:val="001A1E7C"/>
    <w:rsid w:val="001A298A"/>
    <w:rsid w:val="001A358F"/>
    <w:rsid w:val="001A389D"/>
    <w:rsid w:val="001A40AF"/>
    <w:rsid w:val="001A6595"/>
    <w:rsid w:val="001A678B"/>
    <w:rsid w:val="001B17BD"/>
    <w:rsid w:val="001B223D"/>
    <w:rsid w:val="001B6566"/>
    <w:rsid w:val="001C35C7"/>
    <w:rsid w:val="001C3615"/>
    <w:rsid w:val="001C38AC"/>
    <w:rsid w:val="001C4135"/>
    <w:rsid w:val="001C5387"/>
    <w:rsid w:val="001C6A02"/>
    <w:rsid w:val="001C7DAA"/>
    <w:rsid w:val="001D063E"/>
    <w:rsid w:val="001D232D"/>
    <w:rsid w:val="001D2EBC"/>
    <w:rsid w:val="001D4483"/>
    <w:rsid w:val="001D54F4"/>
    <w:rsid w:val="001D5940"/>
    <w:rsid w:val="001D6802"/>
    <w:rsid w:val="001D7224"/>
    <w:rsid w:val="001D7516"/>
    <w:rsid w:val="001E0868"/>
    <w:rsid w:val="001E1E51"/>
    <w:rsid w:val="001E26B9"/>
    <w:rsid w:val="001E4DA8"/>
    <w:rsid w:val="001E4F20"/>
    <w:rsid w:val="001E5067"/>
    <w:rsid w:val="001E51BB"/>
    <w:rsid w:val="001F18EE"/>
    <w:rsid w:val="001F1A37"/>
    <w:rsid w:val="002037ED"/>
    <w:rsid w:val="002071EC"/>
    <w:rsid w:val="002104FC"/>
    <w:rsid w:val="0021157E"/>
    <w:rsid w:val="00212018"/>
    <w:rsid w:val="00212B32"/>
    <w:rsid w:val="00213F26"/>
    <w:rsid w:val="002142D8"/>
    <w:rsid w:val="002156A9"/>
    <w:rsid w:val="002164A3"/>
    <w:rsid w:val="00222289"/>
    <w:rsid w:val="002235E0"/>
    <w:rsid w:val="00224AD8"/>
    <w:rsid w:val="00225D84"/>
    <w:rsid w:val="00226D25"/>
    <w:rsid w:val="00227689"/>
    <w:rsid w:val="002314F9"/>
    <w:rsid w:val="00233702"/>
    <w:rsid w:val="0023411C"/>
    <w:rsid w:val="002350E8"/>
    <w:rsid w:val="00235763"/>
    <w:rsid w:val="00235EF2"/>
    <w:rsid w:val="0023633D"/>
    <w:rsid w:val="0023756B"/>
    <w:rsid w:val="00237D41"/>
    <w:rsid w:val="0024234C"/>
    <w:rsid w:val="00242EDD"/>
    <w:rsid w:val="00244F70"/>
    <w:rsid w:val="00246BDE"/>
    <w:rsid w:val="00247287"/>
    <w:rsid w:val="00247859"/>
    <w:rsid w:val="00247F33"/>
    <w:rsid w:val="00255299"/>
    <w:rsid w:val="00255D87"/>
    <w:rsid w:val="00256ABA"/>
    <w:rsid w:val="00261717"/>
    <w:rsid w:val="00262239"/>
    <w:rsid w:val="0027098D"/>
    <w:rsid w:val="00272C73"/>
    <w:rsid w:val="002733B4"/>
    <w:rsid w:val="002742CD"/>
    <w:rsid w:val="002750A7"/>
    <w:rsid w:val="0027688F"/>
    <w:rsid w:val="0028086F"/>
    <w:rsid w:val="002820A5"/>
    <w:rsid w:val="002839CC"/>
    <w:rsid w:val="00283C05"/>
    <w:rsid w:val="00285674"/>
    <w:rsid w:val="00286423"/>
    <w:rsid w:val="00287208"/>
    <w:rsid w:val="00287692"/>
    <w:rsid w:val="0029052C"/>
    <w:rsid w:val="0029393D"/>
    <w:rsid w:val="002976FB"/>
    <w:rsid w:val="00297BF3"/>
    <w:rsid w:val="00297DBF"/>
    <w:rsid w:val="002A56FB"/>
    <w:rsid w:val="002B082A"/>
    <w:rsid w:val="002B4C69"/>
    <w:rsid w:val="002B549F"/>
    <w:rsid w:val="002B5729"/>
    <w:rsid w:val="002B5889"/>
    <w:rsid w:val="002C4268"/>
    <w:rsid w:val="002C7B49"/>
    <w:rsid w:val="002D24C7"/>
    <w:rsid w:val="002D2BE3"/>
    <w:rsid w:val="002D5753"/>
    <w:rsid w:val="002D5EE6"/>
    <w:rsid w:val="002D622C"/>
    <w:rsid w:val="002D741F"/>
    <w:rsid w:val="002D7940"/>
    <w:rsid w:val="002E5AD0"/>
    <w:rsid w:val="002E6955"/>
    <w:rsid w:val="002F197A"/>
    <w:rsid w:val="002F327A"/>
    <w:rsid w:val="002F4895"/>
    <w:rsid w:val="00302A4E"/>
    <w:rsid w:val="00303C8D"/>
    <w:rsid w:val="003079A6"/>
    <w:rsid w:val="0031058B"/>
    <w:rsid w:val="003114D3"/>
    <w:rsid w:val="00311742"/>
    <w:rsid w:val="00320E4A"/>
    <w:rsid w:val="003236D5"/>
    <w:rsid w:val="00327251"/>
    <w:rsid w:val="00330311"/>
    <w:rsid w:val="00330DD1"/>
    <w:rsid w:val="00331261"/>
    <w:rsid w:val="00331663"/>
    <w:rsid w:val="00334F5C"/>
    <w:rsid w:val="00335459"/>
    <w:rsid w:val="003367F4"/>
    <w:rsid w:val="00337C24"/>
    <w:rsid w:val="00343FAB"/>
    <w:rsid w:val="003440DA"/>
    <w:rsid w:val="003445F7"/>
    <w:rsid w:val="00344671"/>
    <w:rsid w:val="003454D9"/>
    <w:rsid w:val="00346D2D"/>
    <w:rsid w:val="00347441"/>
    <w:rsid w:val="003515D5"/>
    <w:rsid w:val="0035716A"/>
    <w:rsid w:val="003631D4"/>
    <w:rsid w:val="00363643"/>
    <w:rsid w:val="003636D4"/>
    <w:rsid w:val="00366AD6"/>
    <w:rsid w:val="00371F11"/>
    <w:rsid w:val="00375F2C"/>
    <w:rsid w:val="00376AD5"/>
    <w:rsid w:val="00377E76"/>
    <w:rsid w:val="00382E98"/>
    <w:rsid w:val="0038573A"/>
    <w:rsid w:val="00390640"/>
    <w:rsid w:val="00393D6C"/>
    <w:rsid w:val="003951D1"/>
    <w:rsid w:val="0039556D"/>
    <w:rsid w:val="0039735F"/>
    <w:rsid w:val="003976BB"/>
    <w:rsid w:val="003A2C00"/>
    <w:rsid w:val="003A3839"/>
    <w:rsid w:val="003A6EB9"/>
    <w:rsid w:val="003B02D0"/>
    <w:rsid w:val="003B1A98"/>
    <w:rsid w:val="003B5A6D"/>
    <w:rsid w:val="003B66F1"/>
    <w:rsid w:val="003C1C27"/>
    <w:rsid w:val="003C3CFB"/>
    <w:rsid w:val="003C507C"/>
    <w:rsid w:val="003C71A5"/>
    <w:rsid w:val="003D059D"/>
    <w:rsid w:val="003D26A3"/>
    <w:rsid w:val="003D293C"/>
    <w:rsid w:val="003D463A"/>
    <w:rsid w:val="003D514C"/>
    <w:rsid w:val="003E0BEF"/>
    <w:rsid w:val="003E2AC5"/>
    <w:rsid w:val="003E3E13"/>
    <w:rsid w:val="003E4479"/>
    <w:rsid w:val="003E4DEB"/>
    <w:rsid w:val="003E75C8"/>
    <w:rsid w:val="003F02CF"/>
    <w:rsid w:val="003F2F2A"/>
    <w:rsid w:val="003F35A4"/>
    <w:rsid w:val="003F4C8F"/>
    <w:rsid w:val="003F5B42"/>
    <w:rsid w:val="004008A0"/>
    <w:rsid w:val="0040335E"/>
    <w:rsid w:val="00410084"/>
    <w:rsid w:val="0041119C"/>
    <w:rsid w:val="00412FF5"/>
    <w:rsid w:val="00414E05"/>
    <w:rsid w:val="00415CAC"/>
    <w:rsid w:val="00420EFE"/>
    <w:rsid w:val="00421F36"/>
    <w:rsid w:val="00423531"/>
    <w:rsid w:val="00427670"/>
    <w:rsid w:val="004279FB"/>
    <w:rsid w:val="00427A70"/>
    <w:rsid w:val="00430111"/>
    <w:rsid w:val="00430D18"/>
    <w:rsid w:val="00430D60"/>
    <w:rsid w:val="00431B43"/>
    <w:rsid w:val="0043389D"/>
    <w:rsid w:val="00435269"/>
    <w:rsid w:val="00436B73"/>
    <w:rsid w:val="0043750A"/>
    <w:rsid w:val="00437BA3"/>
    <w:rsid w:val="0044044C"/>
    <w:rsid w:val="00440A49"/>
    <w:rsid w:val="004421C8"/>
    <w:rsid w:val="0044771E"/>
    <w:rsid w:val="00450060"/>
    <w:rsid w:val="00460706"/>
    <w:rsid w:val="00460CED"/>
    <w:rsid w:val="004615D2"/>
    <w:rsid w:val="0046437F"/>
    <w:rsid w:val="00470FDF"/>
    <w:rsid w:val="00473001"/>
    <w:rsid w:val="00474BF5"/>
    <w:rsid w:val="00480F04"/>
    <w:rsid w:val="004822B4"/>
    <w:rsid w:val="00483733"/>
    <w:rsid w:val="00484A68"/>
    <w:rsid w:val="00484C25"/>
    <w:rsid w:val="00485E21"/>
    <w:rsid w:val="00486E6C"/>
    <w:rsid w:val="00486F06"/>
    <w:rsid w:val="00487983"/>
    <w:rsid w:val="00490012"/>
    <w:rsid w:val="00490178"/>
    <w:rsid w:val="00490196"/>
    <w:rsid w:val="00491C84"/>
    <w:rsid w:val="0049239B"/>
    <w:rsid w:val="0049642E"/>
    <w:rsid w:val="004A2614"/>
    <w:rsid w:val="004A34C4"/>
    <w:rsid w:val="004A7AE2"/>
    <w:rsid w:val="004B06BA"/>
    <w:rsid w:val="004B1403"/>
    <w:rsid w:val="004B16C8"/>
    <w:rsid w:val="004B2700"/>
    <w:rsid w:val="004B2732"/>
    <w:rsid w:val="004B2B76"/>
    <w:rsid w:val="004C17B4"/>
    <w:rsid w:val="004C3FED"/>
    <w:rsid w:val="004C53AE"/>
    <w:rsid w:val="004C683E"/>
    <w:rsid w:val="004C7C06"/>
    <w:rsid w:val="004D192C"/>
    <w:rsid w:val="004D435E"/>
    <w:rsid w:val="004D4769"/>
    <w:rsid w:val="004D7B22"/>
    <w:rsid w:val="004E1438"/>
    <w:rsid w:val="004E1DFC"/>
    <w:rsid w:val="004E2D25"/>
    <w:rsid w:val="004F17D0"/>
    <w:rsid w:val="004F1B73"/>
    <w:rsid w:val="004F50D8"/>
    <w:rsid w:val="0050121F"/>
    <w:rsid w:val="00512323"/>
    <w:rsid w:val="0051451F"/>
    <w:rsid w:val="005169C3"/>
    <w:rsid w:val="005207EB"/>
    <w:rsid w:val="00522759"/>
    <w:rsid w:val="00522BD6"/>
    <w:rsid w:val="00524808"/>
    <w:rsid w:val="005255E5"/>
    <w:rsid w:val="00527A3B"/>
    <w:rsid w:val="00532EA5"/>
    <w:rsid w:val="00537102"/>
    <w:rsid w:val="00540E0F"/>
    <w:rsid w:val="005412C9"/>
    <w:rsid w:val="005427CB"/>
    <w:rsid w:val="005463FC"/>
    <w:rsid w:val="00551875"/>
    <w:rsid w:val="00551DAF"/>
    <w:rsid w:val="00551FCD"/>
    <w:rsid w:val="00552531"/>
    <w:rsid w:val="00552AF3"/>
    <w:rsid w:val="00556471"/>
    <w:rsid w:val="005565F6"/>
    <w:rsid w:val="00561679"/>
    <w:rsid w:val="00562C62"/>
    <w:rsid w:val="00562F77"/>
    <w:rsid w:val="00564520"/>
    <w:rsid w:val="00564AE7"/>
    <w:rsid w:val="00564EB6"/>
    <w:rsid w:val="005671F5"/>
    <w:rsid w:val="005673F6"/>
    <w:rsid w:val="00572042"/>
    <w:rsid w:val="005722AF"/>
    <w:rsid w:val="005744F2"/>
    <w:rsid w:val="005765A1"/>
    <w:rsid w:val="0057677D"/>
    <w:rsid w:val="00581C58"/>
    <w:rsid w:val="00581DFE"/>
    <w:rsid w:val="005824F7"/>
    <w:rsid w:val="005825E6"/>
    <w:rsid w:val="00587887"/>
    <w:rsid w:val="00587B2E"/>
    <w:rsid w:val="0059148B"/>
    <w:rsid w:val="00593432"/>
    <w:rsid w:val="005A1889"/>
    <w:rsid w:val="005A2992"/>
    <w:rsid w:val="005A3914"/>
    <w:rsid w:val="005A4525"/>
    <w:rsid w:val="005A6BA8"/>
    <w:rsid w:val="005A75A8"/>
    <w:rsid w:val="005A7B3F"/>
    <w:rsid w:val="005A7ED6"/>
    <w:rsid w:val="005B1FD5"/>
    <w:rsid w:val="005B4764"/>
    <w:rsid w:val="005B5150"/>
    <w:rsid w:val="005B59A0"/>
    <w:rsid w:val="005C50AF"/>
    <w:rsid w:val="005C5214"/>
    <w:rsid w:val="005C60CC"/>
    <w:rsid w:val="005C66FA"/>
    <w:rsid w:val="005C72A7"/>
    <w:rsid w:val="005D45B6"/>
    <w:rsid w:val="005D6D75"/>
    <w:rsid w:val="005D6DF4"/>
    <w:rsid w:val="005E1D49"/>
    <w:rsid w:val="005E37A5"/>
    <w:rsid w:val="005E406F"/>
    <w:rsid w:val="005E5798"/>
    <w:rsid w:val="005E5D9C"/>
    <w:rsid w:val="005E6F25"/>
    <w:rsid w:val="005F0543"/>
    <w:rsid w:val="005F060F"/>
    <w:rsid w:val="005F6CB7"/>
    <w:rsid w:val="006006D0"/>
    <w:rsid w:val="00600C72"/>
    <w:rsid w:val="00600E12"/>
    <w:rsid w:val="00610EF2"/>
    <w:rsid w:val="00611556"/>
    <w:rsid w:val="0061181B"/>
    <w:rsid w:val="00613410"/>
    <w:rsid w:val="00616B99"/>
    <w:rsid w:val="0061773D"/>
    <w:rsid w:val="00617AC9"/>
    <w:rsid w:val="0062100A"/>
    <w:rsid w:val="00621089"/>
    <w:rsid w:val="006223D3"/>
    <w:rsid w:val="00623E79"/>
    <w:rsid w:val="0062511D"/>
    <w:rsid w:val="00627829"/>
    <w:rsid w:val="006301F0"/>
    <w:rsid w:val="0063177D"/>
    <w:rsid w:val="00635783"/>
    <w:rsid w:val="00640BF4"/>
    <w:rsid w:val="00643E56"/>
    <w:rsid w:val="00644C0A"/>
    <w:rsid w:val="00645EFA"/>
    <w:rsid w:val="00647EBD"/>
    <w:rsid w:val="0065003D"/>
    <w:rsid w:val="0065110F"/>
    <w:rsid w:val="0065511D"/>
    <w:rsid w:val="00657C01"/>
    <w:rsid w:val="0066136E"/>
    <w:rsid w:val="00662851"/>
    <w:rsid w:val="00662E54"/>
    <w:rsid w:val="00663DC5"/>
    <w:rsid w:val="00664011"/>
    <w:rsid w:val="006644D7"/>
    <w:rsid w:val="00666E2B"/>
    <w:rsid w:val="00666F52"/>
    <w:rsid w:val="00670847"/>
    <w:rsid w:val="00670E3C"/>
    <w:rsid w:val="0067170A"/>
    <w:rsid w:val="00681563"/>
    <w:rsid w:val="006849C5"/>
    <w:rsid w:val="00686AA7"/>
    <w:rsid w:val="00687E34"/>
    <w:rsid w:val="00690BA6"/>
    <w:rsid w:val="006918BC"/>
    <w:rsid w:val="00691F01"/>
    <w:rsid w:val="00694AA5"/>
    <w:rsid w:val="00695F7C"/>
    <w:rsid w:val="00696FDA"/>
    <w:rsid w:val="00697AED"/>
    <w:rsid w:val="006A0813"/>
    <w:rsid w:val="006A1652"/>
    <w:rsid w:val="006A1B1D"/>
    <w:rsid w:val="006A2AD8"/>
    <w:rsid w:val="006A3A3C"/>
    <w:rsid w:val="006A6B6E"/>
    <w:rsid w:val="006A7484"/>
    <w:rsid w:val="006B16C8"/>
    <w:rsid w:val="006B16E0"/>
    <w:rsid w:val="006B18F2"/>
    <w:rsid w:val="006B4B64"/>
    <w:rsid w:val="006B6A7E"/>
    <w:rsid w:val="006B79F0"/>
    <w:rsid w:val="006C08F9"/>
    <w:rsid w:val="006C09CC"/>
    <w:rsid w:val="006D0E3F"/>
    <w:rsid w:val="006D22A7"/>
    <w:rsid w:val="006D3D30"/>
    <w:rsid w:val="006D4F9A"/>
    <w:rsid w:val="006D5BB9"/>
    <w:rsid w:val="006E3172"/>
    <w:rsid w:val="006E35C7"/>
    <w:rsid w:val="006E5A5D"/>
    <w:rsid w:val="006E61F7"/>
    <w:rsid w:val="006E68EC"/>
    <w:rsid w:val="006E6D30"/>
    <w:rsid w:val="006E6EED"/>
    <w:rsid w:val="006F63AF"/>
    <w:rsid w:val="00702D50"/>
    <w:rsid w:val="00702D59"/>
    <w:rsid w:val="0070344D"/>
    <w:rsid w:val="0070396B"/>
    <w:rsid w:val="00703E3D"/>
    <w:rsid w:val="00704919"/>
    <w:rsid w:val="00705BAF"/>
    <w:rsid w:val="00706562"/>
    <w:rsid w:val="00710000"/>
    <w:rsid w:val="00715D22"/>
    <w:rsid w:val="00716BA4"/>
    <w:rsid w:val="007239B0"/>
    <w:rsid w:val="00724E02"/>
    <w:rsid w:val="00724F5C"/>
    <w:rsid w:val="007253C4"/>
    <w:rsid w:val="0072570D"/>
    <w:rsid w:val="00725B9A"/>
    <w:rsid w:val="0073220F"/>
    <w:rsid w:val="00734E22"/>
    <w:rsid w:val="00737180"/>
    <w:rsid w:val="00737AED"/>
    <w:rsid w:val="0074004D"/>
    <w:rsid w:val="00743E83"/>
    <w:rsid w:val="00743FBF"/>
    <w:rsid w:val="00744AB5"/>
    <w:rsid w:val="00745362"/>
    <w:rsid w:val="00751A5C"/>
    <w:rsid w:val="00752071"/>
    <w:rsid w:val="00753A35"/>
    <w:rsid w:val="0075403A"/>
    <w:rsid w:val="00755E52"/>
    <w:rsid w:val="007576E1"/>
    <w:rsid w:val="007624BA"/>
    <w:rsid w:val="00762BE3"/>
    <w:rsid w:val="007639DB"/>
    <w:rsid w:val="00763BBA"/>
    <w:rsid w:val="007648CD"/>
    <w:rsid w:val="00766D5C"/>
    <w:rsid w:val="00767584"/>
    <w:rsid w:val="0077285E"/>
    <w:rsid w:val="0077365E"/>
    <w:rsid w:val="007748E3"/>
    <w:rsid w:val="00777400"/>
    <w:rsid w:val="00780416"/>
    <w:rsid w:val="007814AB"/>
    <w:rsid w:val="00790B61"/>
    <w:rsid w:val="00791447"/>
    <w:rsid w:val="00791621"/>
    <w:rsid w:val="00792202"/>
    <w:rsid w:val="00792B28"/>
    <w:rsid w:val="00793820"/>
    <w:rsid w:val="00794108"/>
    <w:rsid w:val="00794398"/>
    <w:rsid w:val="007A0089"/>
    <w:rsid w:val="007A1F16"/>
    <w:rsid w:val="007A3D77"/>
    <w:rsid w:val="007B0110"/>
    <w:rsid w:val="007C1B7B"/>
    <w:rsid w:val="007C1BEF"/>
    <w:rsid w:val="007C20BC"/>
    <w:rsid w:val="007C2F96"/>
    <w:rsid w:val="007C3B41"/>
    <w:rsid w:val="007C4AB7"/>
    <w:rsid w:val="007C6262"/>
    <w:rsid w:val="007D2068"/>
    <w:rsid w:val="007D249B"/>
    <w:rsid w:val="007D350B"/>
    <w:rsid w:val="007D3941"/>
    <w:rsid w:val="007D425C"/>
    <w:rsid w:val="007E163A"/>
    <w:rsid w:val="007E3882"/>
    <w:rsid w:val="007E3ADE"/>
    <w:rsid w:val="007E5051"/>
    <w:rsid w:val="007F4DB3"/>
    <w:rsid w:val="007F64FC"/>
    <w:rsid w:val="008010AC"/>
    <w:rsid w:val="0080123D"/>
    <w:rsid w:val="0080229B"/>
    <w:rsid w:val="00805548"/>
    <w:rsid w:val="00805F49"/>
    <w:rsid w:val="00810AB3"/>
    <w:rsid w:val="00810D9A"/>
    <w:rsid w:val="008116C9"/>
    <w:rsid w:val="0081253E"/>
    <w:rsid w:val="00816153"/>
    <w:rsid w:val="008248CF"/>
    <w:rsid w:val="00824DA6"/>
    <w:rsid w:val="00825FF7"/>
    <w:rsid w:val="00830D72"/>
    <w:rsid w:val="008312BA"/>
    <w:rsid w:val="00832023"/>
    <w:rsid w:val="00834DEF"/>
    <w:rsid w:val="0083738B"/>
    <w:rsid w:val="00841987"/>
    <w:rsid w:val="00841C06"/>
    <w:rsid w:val="008420E9"/>
    <w:rsid w:val="00843AF2"/>
    <w:rsid w:val="00844352"/>
    <w:rsid w:val="00846C17"/>
    <w:rsid w:val="00847128"/>
    <w:rsid w:val="00850A07"/>
    <w:rsid w:val="00851225"/>
    <w:rsid w:val="00852154"/>
    <w:rsid w:val="00852A92"/>
    <w:rsid w:val="00855A21"/>
    <w:rsid w:val="00857600"/>
    <w:rsid w:val="00861CAB"/>
    <w:rsid w:val="008624B7"/>
    <w:rsid w:val="008634C2"/>
    <w:rsid w:val="00864737"/>
    <w:rsid w:val="00864B46"/>
    <w:rsid w:val="00864EB1"/>
    <w:rsid w:val="00865A8D"/>
    <w:rsid w:val="00867B61"/>
    <w:rsid w:val="00872945"/>
    <w:rsid w:val="00873A22"/>
    <w:rsid w:val="0087509B"/>
    <w:rsid w:val="00876412"/>
    <w:rsid w:val="00880124"/>
    <w:rsid w:val="00882523"/>
    <w:rsid w:val="008858C6"/>
    <w:rsid w:val="0088717C"/>
    <w:rsid w:val="00887717"/>
    <w:rsid w:val="00891D50"/>
    <w:rsid w:val="00893E0D"/>
    <w:rsid w:val="00895091"/>
    <w:rsid w:val="00896E30"/>
    <w:rsid w:val="00897332"/>
    <w:rsid w:val="008A019E"/>
    <w:rsid w:val="008A0CE9"/>
    <w:rsid w:val="008A1719"/>
    <w:rsid w:val="008A4FC9"/>
    <w:rsid w:val="008B0FCB"/>
    <w:rsid w:val="008B19C7"/>
    <w:rsid w:val="008B24E2"/>
    <w:rsid w:val="008B37AB"/>
    <w:rsid w:val="008B59A7"/>
    <w:rsid w:val="008B773D"/>
    <w:rsid w:val="008C2649"/>
    <w:rsid w:val="008C4EAC"/>
    <w:rsid w:val="008C58B3"/>
    <w:rsid w:val="008C6EBB"/>
    <w:rsid w:val="008D2912"/>
    <w:rsid w:val="008D3ECF"/>
    <w:rsid w:val="008D4F9D"/>
    <w:rsid w:val="008D79A1"/>
    <w:rsid w:val="008E148C"/>
    <w:rsid w:val="008E6420"/>
    <w:rsid w:val="008E67C8"/>
    <w:rsid w:val="008E7C69"/>
    <w:rsid w:val="008F181E"/>
    <w:rsid w:val="008F2004"/>
    <w:rsid w:val="008F22E8"/>
    <w:rsid w:val="008F4B9C"/>
    <w:rsid w:val="008F5D46"/>
    <w:rsid w:val="008F6BC9"/>
    <w:rsid w:val="008F6DDA"/>
    <w:rsid w:val="0090138B"/>
    <w:rsid w:val="009018DC"/>
    <w:rsid w:val="00907989"/>
    <w:rsid w:val="00914F96"/>
    <w:rsid w:val="0092138D"/>
    <w:rsid w:val="0092157C"/>
    <w:rsid w:val="00922F5B"/>
    <w:rsid w:val="00924072"/>
    <w:rsid w:val="00927382"/>
    <w:rsid w:val="0093222B"/>
    <w:rsid w:val="0093436B"/>
    <w:rsid w:val="00934E8C"/>
    <w:rsid w:val="00937715"/>
    <w:rsid w:val="00941EB3"/>
    <w:rsid w:val="00944F3B"/>
    <w:rsid w:val="00952B9D"/>
    <w:rsid w:val="00956FAE"/>
    <w:rsid w:val="009578DE"/>
    <w:rsid w:val="009603D0"/>
    <w:rsid w:val="00960D10"/>
    <w:rsid w:val="0096231D"/>
    <w:rsid w:val="0096443A"/>
    <w:rsid w:val="00964E4D"/>
    <w:rsid w:val="00965B9B"/>
    <w:rsid w:val="00970524"/>
    <w:rsid w:val="00972DA9"/>
    <w:rsid w:val="0097434C"/>
    <w:rsid w:val="00984560"/>
    <w:rsid w:val="00984CBE"/>
    <w:rsid w:val="009851A5"/>
    <w:rsid w:val="009864AF"/>
    <w:rsid w:val="00993F9B"/>
    <w:rsid w:val="00995DE4"/>
    <w:rsid w:val="009965B4"/>
    <w:rsid w:val="009A06CC"/>
    <w:rsid w:val="009A1E55"/>
    <w:rsid w:val="009A313E"/>
    <w:rsid w:val="009A4108"/>
    <w:rsid w:val="009A4CA2"/>
    <w:rsid w:val="009A79E8"/>
    <w:rsid w:val="009B0056"/>
    <w:rsid w:val="009B28D0"/>
    <w:rsid w:val="009B38EF"/>
    <w:rsid w:val="009B3D63"/>
    <w:rsid w:val="009B6028"/>
    <w:rsid w:val="009B62EA"/>
    <w:rsid w:val="009B781D"/>
    <w:rsid w:val="009B7F71"/>
    <w:rsid w:val="009C0AC6"/>
    <w:rsid w:val="009C1AE6"/>
    <w:rsid w:val="009C36E6"/>
    <w:rsid w:val="009C5545"/>
    <w:rsid w:val="009C5B64"/>
    <w:rsid w:val="009C6770"/>
    <w:rsid w:val="009C6FD2"/>
    <w:rsid w:val="009C70C0"/>
    <w:rsid w:val="009C748F"/>
    <w:rsid w:val="009C7DCC"/>
    <w:rsid w:val="009D2C92"/>
    <w:rsid w:val="009D4D3E"/>
    <w:rsid w:val="009D552E"/>
    <w:rsid w:val="009D6F10"/>
    <w:rsid w:val="009E044C"/>
    <w:rsid w:val="009E3321"/>
    <w:rsid w:val="009E3578"/>
    <w:rsid w:val="009E4424"/>
    <w:rsid w:val="009E62A5"/>
    <w:rsid w:val="009F49DB"/>
    <w:rsid w:val="009F6C20"/>
    <w:rsid w:val="00A0133D"/>
    <w:rsid w:val="00A03B32"/>
    <w:rsid w:val="00A04B8F"/>
    <w:rsid w:val="00A071B2"/>
    <w:rsid w:val="00A15A73"/>
    <w:rsid w:val="00A16CF7"/>
    <w:rsid w:val="00A1798C"/>
    <w:rsid w:val="00A17E24"/>
    <w:rsid w:val="00A21847"/>
    <w:rsid w:val="00A22236"/>
    <w:rsid w:val="00A22C34"/>
    <w:rsid w:val="00A24BF3"/>
    <w:rsid w:val="00A2558B"/>
    <w:rsid w:val="00A2675F"/>
    <w:rsid w:val="00A31388"/>
    <w:rsid w:val="00A313E7"/>
    <w:rsid w:val="00A322E3"/>
    <w:rsid w:val="00A3366F"/>
    <w:rsid w:val="00A3416E"/>
    <w:rsid w:val="00A34A36"/>
    <w:rsid w:val="00A356D0"/>
    <w:rsid w:val="00A35879"/>
    <w:rsid w:val="00A427DA"/>
    <w:rsid w:val="00A44C32"/>
    <w:rsid w:val="00A45D01"/>
    <w:rsid w:val="00A4648D"/>
    <w:rsid w:val="00A46F50"/>
    <w:rsid w:val="00A47ECE"/>
    <w:rsid w:val="00A51C51"/>
    <w:rsid w:val="00A51E89"/>
    <w:rsid w:val="00A5337C"/>
    <w:rsid w:val="00A54639"/>
    <w:rsid w:val="00A63BEE"/>
    <w:rsid w:val="00A661B8"/>
    <w:rsid w:val="00A721AD"/>
    <w:rsid w:val="00A75126"/>
    <w:rsid w:val="00A765D0"/>
    <w:rsid w:val="00A80041"/>
    <w:rsid w:val="00A820CC"/>
    <w:rsid w:val="00A844AE"/>
    <w:rsid w:val="00A8450C"/>
    <w:rsid w:val="00A915BA"/>
    <w:rsid w:val="00A93D32"/>
    <w:rsid w:val="00A95356"/>
    <w:rsid w:val="00AA5C4A"/>
    <w:rsid w:val="00AA745C"/>
    <w:rsid w:val="00AB25FB"/>
    <w:rsid w:val="00AB5676"/>
    <w:rsid w:val="00AB655B"/>
    <w:rsid w:val="00AB7CC7"/>
    <w:rsid w:val="00AC27BC"/>
    <w:rsid w:val="00AC3A1D"/>
    <w:rsid w:val="00AC5F59"/>
    <w:rsid w:val="00AC7B48"/>
    <w:rsid w:val="00AD10F6"/>
    <w:rsid w:val="00AD162A"/>
    <w:rsid w:val="00AD4C3A"/>
    <w:rsid w:val="00AD6D8F"/>
    <w:rsid w:val="00AE0C01"/>
    <w:rsid w:val="00AE3AFD"/>
    <w:rsid w:val="00AE4843"/>
    <w:rsid w:val="00AE546C"/>
    <w:rsid w:val="00AF053E"/>
    <w:rsid w:val="00AF1669"/>
    <w:rsid w:val="00AF6569"/>
    <w:rsid w:val="00B01476"/>
    <w:rsid w:val="00B04DF9"/>
    <w:rsid w:val="00B05FCA"/>
    <w:rsid w:val="00B07805"/>
    <w:rsid w:val="00B07C35"/>
    <w:rsid w:val="00B10907"/>
    <w:rsid w:val="00B1095C"/>
    <w:rsid w:val="00B13775"/>
    <w:rsid w:val="00B15090"/>
    <w:rsid w:val="00B211CE"/>
    <w:rsid w:val="00B21FCD"/>
    <w:rsid w:val="00B258F2"/>
    <w:rsid w:val="00B25983"/>
    <w:rsid w:val="00B268AE"/>
    <w:rsid w:val="00B309F6"/>
    <w:rsid w:val="00B31443"/>
    <w:rsid w:val="00B323B5"/>
    <w:rsid w:val="00B33D23"/>
    <w:rsid w:val="00B354A1"/>
    <w:rsid w:val="00B37204"/>
    <w:rsid w:val="00B40D4D"/>
    <w:rsid w:val="00B41C44"/>
    <w:rsid w:val="00B43667"/>
    <w:rsid w:val="00B43EAD"/>
    <w:rsid w:val="00B44C1F"/>
    <w:rsid w:val="00B458A4"/>
    <w:rsid w:val="00B45A60"/>
    <w:rsid w:val="00B46196"/>
    <w:rsid w:val="00B46812"/>
    <w:rsid w:val="00B507FA"/>
    <w:rsid w:val="00B55723"/>
    <w:rsid w:val="00B55C3C"/>
    <w:rsid w:val="00B57328"/>
    <w:rsid w:val="00B57CB7"/>
    <w:rsid w:val="00B67F02"/>
    <w:rsid w:val="00B7221A"/>
    <w:rsid w:val="00B72442"/>
    <w:rsid w:val="00B73C84"/>
    <w:rsid w:val="00B75075"/>
    <w:rsid w:val="00B76487"/>
    <w:rsid w:val="00B81124"/>
    <w:rsid w:val="00B81D6C"/>
    <w:rsid w:val="00B82131"/>
    <w:rsid w:val="00B83108"/>
    <w:rsid w:val="00B84A2D"/>
    <w:rsid w:val="00B853CB"/>
    <w:rsid w:val="00B91A18"/>
    <w:rsid w:val="00B933E5"/>
    <w:rsid w:val="00B95569"/>
    <w:rsid w:val="00BA08E7"/>
    <w:rsid w:val="00BA20F9"/>
    <w:rsid w:val="00BA2819"/>
    <w:rsid w:val="00BA3174"/>
    <w:rsid w:val="00BA40B1"/>
    <w:rsid w:val="00BA6965"/>
    <w:rsid w:val="00BB0ACF"/>
    <w:rsid w:val="00BC16CA"/>
    <w:rsid w:val="00BC2C44"/>
    <w:rsid w:val="00BC40D5"/>
    <w:rsid w:val="00BC43E2"/>
    <w:rsid w:val="00BC5F81"/>
    <w:rsid w:val="00BC67E5"/>
    <w:rsid w:val="00BD0462"/>
    <w:rsid w:val="00BE286D"/>
    <w:rsid w:val="00BE410D"/>
    <w:rsid w:val="00BE4239"/>
    <w:rsid w:val="00BE43AD"/>
    <w:rsid w:val="00BE7038"/>
    <w:rsid w:val="00BE72AA"/>
    <w:rsid w:val="00BE73B0"/>
    <w:rsid w:val="00BF0D5E"/>
    <w:rsid w:val="00BF769D"/>
    <w:rsid w:val="00BF79BA"/>
    <w:rsid w:val="00BF7E28"/>
    <w:rsid w:val="00C036BF"/>
    <w:rsid w:val="00C03DA4"/>
    <w:rsid w:val="00C05661"/>
    <w:rsid w:val="00C1096E"/>
    <w:rsid w:val="00C12EE3"/>
    <w:rsid w:val="00C13E7C"/>
    <w:rsid w:val="00C144BD"/>
    <w:rsid w:val="00C14737"/>
    <w:rsid w:val="00C14AB1"/>
    <w:rsid w:val="00C20E97"/>
    <w:rsid w:val="00C2105F"/>
    <w:rsid w:val="00C219F3"/>
    <w:rsid w:val="00C233C4"/>
    <w:rsid w:val="00C23566"/>
    <w:rsid w:val="00C23DC5"/>
    <w:rsid w:val="00C26A11"/>
    <w:rsid w:val="00C30C3C"/>
    <w:rsid w:val="00C315BE"/>
    <w:rsid w:val="00C32BCC"/>
    <w:rsid w:val="00C33085"/>
    <w:rsid w:val="00C3464F"/>
    <w:rsid w:val="00C36414"/>
    <w:rsid w:val="00C41AE5"/>
    <w:rsid w:val="00C447D6"/>
    <w:rsid w:val="00C45840"/>
    <w:rsid w:val="00C46469"/>
    <w:rsid w:val="00C46F90"/>
    <w:rsid w:val="00C5173E"/>
    <w:rsid w:val="00C56B4D"/>
    <w:rsid w:val="00C56C9F"/>
    <w:rsid w:val="00C601D6"/>
    <w:rsid w:val="00C6080B"/>
    <w:rsid w:val="00C61220"/>
    <w:rsid w:val="00C6171D"/>
    <w:rsid w:val="00C638D4"/>
    <w:rsid w:val="00C655B2"/>
    <w:rsid w:val="00C67034"/>
    <w:rsid w:val="00C677EE"/>
    <w:rsid w:val="00C67968"/>
    <w:rsid w:val="00C715D3"/>
    <w:rsid w:val="00C733DA"/>
    <w:rsid w:val="00C7534C"/>
    <w:rsid w:val="00C77D62"/>
    <w:rsid w:val="00C80E43"/>
    <w:rsid w:val="00C835AE"/>
    <w:rsid w:val="00C83C87"/>
    <w:rsid w:val="00C86BA3"/>
    <w:rsid w:val="00C875EC"/>
    <w:rsid w:val="00C919C6"/>
    <w:rsid w:val="00C951A9"/>
    <w:rsid w:val="00C95795"/>
    <w:rsid w:val="00C95BF7"/>
    <w:rsid w:val="00C95FF9"/>
    <w:rsid w:val="00C961B0"/>
    <w:rsid w:val="00CA0E35"/>
    <w:rsid w:val="00CA1260"/>
    <w:rsid w:val="00CA2C5E"/>
    <w:rsid w:val="00CA3559"/>
    <w:rsid w:val="00CA3924"/>
    <w:rsid w:val="00CA56B9"/>
    <w:rsid w:val="00CA5941"/>
    <w:rsid w:val="00CB1FFB"/>
    <w:rsid w:val="00CB5D6F"/>
    <w:rsid w:val="00CB7F81"/>
    <w:rsid w:val="00CC210C"/>
    <w:rsid w:val="00CC2CBB"/>
    <w:rsid w:val="00CC3750"/>
    <w:rsid w:val="00CC5529"/>
    <w:rsid w:val="00CC63BD"/>
    <w:rsid w:val="00CD2B3F"/>
    <w:rsid w:val="00CE42E4"/>
    <w:rsid w:val="00CE4849"/>
    <w:rsid w:val="00CE6570"/>
    <w:rsid w:val="00CE6A76"/>
    <w:rsid w:val="00CE7385"/>
    <w:rsid w:val="00CF1A24"/>
    <w:rsid w:val="00CF2362"/>
    <w:rsid w:val="00CF3A0A"/>
    <w:rsid w:val="00CF51F0"/>
    <w:rsid w:val="00CF6FD4"/>
    <w:rsid w:val="00D01829"/>
    <w:rsid w:val="00D01AA4"/>
    <w:rsid w:val="00D02544"/>
    <w:rsid w:val="00D05132"/>
    <w:rsid w:val="00D0580B"/>
    <w:rsid w:val="00D0591B"/>
    <w:rsid w:val="00D06F0A"/>
    <w:rsid w:val="00D11A2E"/>
    <w:rsid w:val="00D11FA9"/>
    <w:rsid w:val="00D1333D"/>
    <w:rsid w:val="00D13567"/>
    <w:rsid w:val="00D13B82"/>
    <w:rsid w:val="00D13EE8"/>
    <w:rsid w:val="00D16F3C"/>
    <w:rsid w:val="00D179A6"/>
    <w:rsid w:val="00D17E47"/>
    <w:rsid w:val="00D20AC8"/>
    <w:rsid w:val="00D231A6"/>
    <w:rsid w:val="00D251FD"/>
    <w:rsid w:val="00D2767B"/>
    <w:rsid w:val="00D32D15"/>
    <w:rsid w:val="00D33887"/>
    <w:rsid w:val="00D3400D"/>
    <w:rsid w:val="00D363BC"/>
    <w:rsid w:val="00D40299"/>
    <w:rsid w:val="00D450A8"/>
    <w:rsid w:val="00D5046A"/>
    <w:rsid w:val="00D505A3"/>
    <w:rsid w:val="00D50756"/>
    <w:rsid w:val="00D5095F"/>
    <w:rsid w:val="00D558B1"/>
    <w:rsid w:val="00D5785A"/>
    <w:rsid w:val="00D57936"/>
    <w:rsid w:val="00D61593"/>
    <w:rsid w:val="00D64333"/>
    <w:rsid w:val="00D6474C"/>
    <w:rsid w:val="00D64A4E"/>
    <w:rsid w:val="00D65A3D"/>
    <w:rsid w:val="00D74CC0"/>
    <w:rsid w:val="00D80111"/>
    <w:rsid w:val="00D80B0E"/>
    <w:rsid w:val="00D8422F"/>
    <w:rsid w:val="00D87D6C"/>
    <w:rsid w:val="00D90DA0"/>
    <w:rsid w:val="00D91282"/>
    <w:rsid w:val="00D91CF1"/>
    <w:rsid w:val="00D93403"/>
    <w:rsid w:val="00D937C2"/>
    <w:rsid w:val="00D97AB5"/>
    <w:rsid w:val="00DA1A65"/>
    <w:rsid w:val="00DA22EB"/>
    <w:rsid w:val="00DA670A"/>
    <w:rsid w:val="00DB1120"/>
    <w:rsid w:val="00DB2074"/>
    <w:rsid w:val="00DB20FE"/>
    <w:rsid w:val="00DB39EB"/>
    <w:rsid w:val="00DB4268"/>
    <w:rsid w:val="00DB4F87"/>
    <w:rsid w:val="00DB565C"/>
    <w:rsid w:val="00DB7F15"/>
    <w:rsid w:val="00DC35E9"/>
    <w:rsid w:val="00DC54C6"/>
    <w:rsid w:val="00DC724D"/>
    <w:rsid w:val="00DD08A7"/>
    <w:rsid w:val="00DD67FF"/>
    <w:rsid w:val="00DD7272"/>
    <w:rsid w:val="00DE02FB"/>
    <w:rsid w:val="00DE2D7A"/>
    <w:rsid w:val="00DE5150"/>
    <w:rsid w:val="00DF1736"/>
    <w:rsid w:val="00DF2943"/>
    <w:rsid w:val="00DF3525"/>
    <w:rsid w:val="00DF5B69"/>
    <w:rsid w:val="00DF769F"/>
    <w:rsid w:val="00E02CFE"/>
    <w:rsid w:val="00E0553D"/>
    <w:rsid w:val="00E074AE"/>
    <w:rsid w:val="00E14BA3"/>
    <w:rsid w:val="00E20659"/>
    <w:rsid w:val="00E22FB3"/>
    <w:rsid w:val="00E2369F"/>
    <w:rsid w:val="00E238B7"/>
    <w:rsid w:val="00E23FD2"/>
    <w:rsid w:val="00E26081"/>
    <w:rsid w:val="00E26E57"/>
    <w:rsid w:val="00E2798E"/>
    <w:rsid w:val="00E368D3"/>
    <w:rsid w:val="00E41864"/>
    <w:rsid w:val="00E41ADA"/>
    <w:rsid w:val="00E423C3"/>
    <w:rsid w:val="00E43970"/>
    <w:rsid w:val="00E445AF"/>
    <w:rsid w:val="00E4717C"/>
    <w:rsid w:val="00E51474"/>
    <w:rsid w:val="00E51630"/>
    <w:rsid w:val="00E53251"/>
    <w:rsid w:val="00E53A88"/>
    <w:rsid w:val="00E54CB2"/>
    <w:rsid w:val="00E67733"/>
    <w:rsid w:val="00E72CA8"/>
    <w:rsid w:val="00E75A1D"/>
    <w:rsid w:val="00E772DB"/>
    <w:rsid w:val="00E817A5"/>
    <w:rsid w:val="00E8191E"/>
    <w:rsid w:val="00E90313"/>
    <w:rsid w:val="00E90746"/>
    <w:rsid w:val="00E90C49"/>
    <w:rsid w:val="00E926DE"/>
    <w:rsid w:val="00E92B46"/>
    <w:rsid w:val="00E93537"/>
    <w:rsid w:val="00EA27A3"/>
    <w:rsid w:val="00EA420D"/>
    <w:rsid w:val="00EA6ADF"/>
    <w:rsid w:val="00EB0025"/>
    <w:rsid w:val="00EB16BC"/>
    <w:rsid w:val="00EB1A71"/>
    <w:rsid w:val="00EB78FE"/>
    <w:rsid w:val="00EB7F0F"/>
    <w:rsid w:val="00EC02EF"/>
    <w:rsid w:val="00EC15EB"/>
    <w:rsid w:val="00EC2160"/>
    <w:rsid w:val="00EC5792"/>
    <w:rsid w:val="00EC70C0"/>
    <w:rsid w:val="00EC714B"/>
    <w:rsid w:val="00ED1469"/>
    <w:rsid w:val="00ED1987"/>
    <w:rsid w:val="00ED33FB"/>
    <w:rsid w:val="00ED5985"/>
    <w:rsid w:val="00ED7B03"/>
    <w:rsid w:val="00EE0078"/>
    <w:rsid w:val="00EE1CA3"/>
    <w:rsid w:val="00EE3B95"/>
    <w:rsid w:val="00EE66F3"/>
    <w:rsid w:val="00EE7950"/>
    <w:rsid w:val="00EF0843"/>
    <w:rsid w:val="00EF5F0D"/>
    <w:rsid w:val="00EF6A8D"/>
    <w:rsid w:val="00EF7B9F"/>
    <w:rsid w:val="00F01C28"/>
    <w:rsid w:val="00F02A51"/>
    <w:rsid w:val="00F03692"/>
    <w:rsid w:val="00F14A2C"/>
    <w:rsid w:val="00F173A7"/>
    <w:rsid w:val="00F21CCB"/>
    <w:rsid w:val="00F24394"/>
    <w:rsid w:val="00F25C2A"/>
    <w:rsid w:val="00F26A07"/>
    <w:rsid w:val="00F30BD4"/>
    <w:rsid w:val="00F31B7A"/>
    <w:rsid w:val="00F31EF9"/>
    <w:rsid w:val="00F32F21"/>
    <w:rsid w:val="00F33740"/>
    <w:rsid w:val="00F337D1"/>
    <w:rsid w:val="00F350F5"/>
    <w:rsid w:val="00F44D63"/>
    <w:rsid w:val="00F52847"/>
    <w:rsid w:val="00F5391A"/>
    <w:rsid w:val="00F54DCF"/>
    <w:rsid w:val="00F55BBB"/>
    <w:rsid w:val="00F55C85"/>
    <w:rsid w:val="00F57E8A"/>
    <w:rsid w:val="00F6072E"/>
    <w:rsid w:val="00F6223E"/>
    <w:rsid w:val="00F62AD0"/>
    <w:rsid w:val="00F65407"/>
    <w:rsid w:val="00F70F0D"/>
    <w:rsid w:val="00F735D1"/>
    <w:rsid w:val="00F73CE4"/>
    <w:rsid w:val="00F8170C"/>
    <w:rsid w:val="00F8243A"/>
    <w:rsid w:val="00F8432F"/>
    <w:rsid w:val="00F8576B"/>
    <w:rsid w:val="00F8620A"/>
    <w:rsid w:val="00F876E4"/>
    <w:rsid w:val="00F87BDD"/>
    <w:rsid w:val="00F87ECA"/>
    <w:rsid w:val="00F966D1"/>
    <w:rsid w:val="00FA0221"/>
    <w:rsid w:val="00FA1EA3"/>
    <w:rsid w:val="00FA217E"/>
    <w:rsid w:val="00FA2DEF"/>
    <w:rsid w:val="00FA47DF"/>
    <w:rsid w:val="00FA5B39"/>
    <w:rsid w:val="00FB047D"/>
    <w:rsid w:val="00FB179B"/>
    <w:rsid w:val="00FB1BD5"/>
    <w:rsid w:val="00FB2455"/>
    <w:rsid w:val="00FB3C9A"/>
    <w:rsid w:val="00FB467B"/>
    <w:rsid w:val="00FB485E"/>
    <w:rsid w:val="00FB640E"/>
    <w:rsid w:val="00FB6F89"/>
    <w:rsid w:val="00FC175F"/>
    <w:rsid w:val="00FC1F18"/>
    <w:rsid w:val="00FC67E1"/>
    <w:rsid w:val="00FC7485"/>
    <w:rsid w:val="00FD1141"/>
    <w:rsid w:val="00FD2CAA"/>
    <w:rsid w:val="00FD3231"/>
    <w:rsid w:val="00FD614A"/>
    <w:rsid w:val="00FD666E"/>
    <w:rsid w:val="00FE2362"/>
    <w:rsid w:val="00FE266F"/>
    <w:rsid w:val="00FE65D1"/>
    <w:rsid w:val="00FE71BF"/>
    <w:rsid w:val="00FE72C5"/>
    <w:rsid w:val="00FF19B0"/>
    <w:rsid w:val="00FF2605"/>
    <w:rsid w:val="00FF4022"/>
    <w:rsid w:val="00FF4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3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34BBC"/>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customStyle="1" w:styleId="TestonotaapidipaginaCarattere">
    <w:name w:val="Testo nota a piè di pagina Carattere"/>
    <w:basedOn w:val="Carpredefinitoparagrafo"/>
    <w:link w:val="Testonotaapidipagina"/>
    <w:semiHidden/>
    <w:rsid w:val="00FC67E1"/>
  </w:style>
  <w:style w:type="character" w:styleId="Collegamentoipertestuale">
    <w:name w:val="Hyperlink"/>
    <w:basedOn w:val="Carpredefinitoparagrafo"/>
    <w:rsid w:val="0096443A"/>
    <w:rPr>
      <w:color w:val="0000FF" w:themeColor="hyperlink"/>
      <w:u w:val="single"/>
    </w:rPr>
  </w:style>
  <w:style w:type="paragraph" w:styleId="NormaleWeb">
    <w:name w:val="Normal (Web)"/>
    <w:basedOn w:val="Normale"/>
    <w:uiPriority w:val="99"/>
    <w:unhideWhenUsed/>
    <w:rsid w:val="0096443A"/>
    <w:pPr>
      <w:spacing w:before="100" w:beforeAutospacing="1" w:after="100" w:afterAutospacing="1"/>
    </w:pPr>
    <w:rPr>
      <w:sz w:val="24"/>
      <w:szCs w:val="24"/>
    </w:rPr>
  </w:style>
  <w:style w:type="character" w:customStyle="1" w:styleId="Corpodeltesto2Carattere">
    <w:name w:val="Corpo del testo 2 Carattere"/>
    <w:basedOn w:val="Carpredefinitoparagrafo"/>
    <w:link w:val="Corpodeltesto2"/>
    <w:rsid w:val="00716BA4"/>
    <w:rPr>
      <w:rFonts w:ascii="Verdana" w:hAnsi="Verdana"/>
      <w:b/>
      <w:bCs/>
      <w:sz w:val="24"/>
    </w:rPr>
  </w:style>
  <w:style w:type="paragraph" w:customStyle="1" w:styleId="Default">
    <w:name w:val="Default"/>
    <w:rsid w:val="00A765D0"/>
    <w:pPr>
      <w:autoSpaceDE w:val="0"/>
      <w:autoSpaceDN w:val="0"/>
      <w:adjustRightInd w:val="0"/>
    </w:pPr>
    <w:rPr>
      <w:rFonts w:eastAsiaTheme="minorHAnsi"/>
      <w:color w:val="000000"/>
      <w:sz w:val="24"/>
      <w:szCs w:val="24"/>
      <w:lang w:eastAsia="en-US"/>
    </w:rPr>
  </w:style>
  <w:style w:type="character" w:styleId="Rimandocommento">
    <w:name w:val="annotation reference"/>
    <w:basedOn w:val="Carpredefinitoparagrafo"/>
    <w:semiHidden/>
    <w:unhideWhenUsed/>
    <w:rsid w:val="0003260B"/>
    <w:rPr>
      <w:sz w:val="16"/>
      <w:szCs w:val="16"/>
    </w:rPr>
  </w:style>
  <w:style w:type="paragraph" w:styleId="Testocommento">
    <w:name w:val="annotation text"/>
    <w:basedOn w:val="Normale"/>
    <w:link w:val="TestocommentoCarattere"/>
    <w:unhideWhenUsed/>
    <w:rsid w:val="0003260B"/>
  </w:style>
  <w:style w:type="character" w:customStyle="1" w:styleId="TestocommentoCarattere">
    <w:name w:val="Testo commento Carattere"/>
    <w:basedOn w:val="Carpredefinitoparagrafo"/>
    <w:link w:val="Testocommento"/>
    <w:rsid w:val="0003260B"/>
  </w:style>
  <w:style w:type="paragraph" w:styleId="Soggettocommento">
    <w:name w:val="annotation subject"/>
    <w:basedOn w:val="Testocommento"/>
    <w:next w:val="Testocommento"/>
    <w:link w:val="SoggettocommentoCarattere"/>
    <w:semiHidden/>
    <w:unhideWhenUsed/>
    <w:rsid w:val="0003260B"/>
    <w:rPr>
      <w:b/>
      <w:bCs/>
    </w:rPr>
  </w:style>
  <w:style w:type="character" w:customStyle="1" w:styleId="SoggettocommentoCarattere">
    <w:name w:val="Soggetto commento Carattere"/>
    <w:basedOn w:val="TestocommentoCarattere"/>
    <w:link w:val="Soggettocommento"/>
    <w:semiHidden/>
    <w:rsid w:val="0003260B"/>
    <w:rPr>
      <w:b/>
      <w:bCs/>
    </w:rPr>
  </w:style>
  <w:style w:type="character" w:customStyle="1" w:styleId="Menzionenonrisolta1">
    <w:name w:val="Menzione non risolta1"/>
    <w:basedOn w:val="Carpredefinitoparagrafo"/>
    <w:uiPriority w:val="99"/>
    <w:semiHidden/>
    <w:unhideWhenUsed/>
    <w:rsid w:val="00B46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627124295">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938099555">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16185-86AA-4158-A6AB-321B69BBA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0B10-BAA8-4A08-9E03-AAD029B20BFE}">
  <ds:schemaRefs>
    <ds:schemaRef ds:uri="http://schemas.microsoft.com/sharepoint/v3/contenttype/forms"/>
  </ds:schemaRefs>
</ds:datastoreItem>
</file>

<file path=customXml/itemProps3.xml><?xml version="1.0" encoding="utf-8"?>
<ds:datastoreItem xmlns:ds="http://schemas.openxmlformats.org/officeDocument/2006/customXml" ds:itemID="{A9663005-BF15-45A8-9A36-B3BC6CC282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6787A0-CA43-4BF4-B009-EA9E5C91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1923</Words>
  <Characters>11945</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2022-09-07T09:49:00Z</dcterms:created>
  <dcterms:modified xsi:type="dcterms:W3CDTF">2022-09-28T15:41:00Z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ies>
</file>