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0F51" w14:textId="77777777" w:rsidR="00965B9B" w:rsidRPr="008729BE" w:rsidRDefault="00965B9B" w:rsidP="00927382">
      <w:pPr>
        <w:rPr>
          <w:rFonts w:ascii="Verdana" w:hAnsi="Verdana"/>
          <w:sz w:val="24"/>
        </w:rPr>
      </w:pPr>
    </w:p>
    <w:p w14:paraId="428672BD" w14:textId="2C3BE232" w:rsidR="00965B9B" w:rsidRPr="008729BE" w:rsidRDefault="008729BE" w:rsidP="008729BE">
      <w:pPr>
        <w:tabs>
          <w:tab w:val="left" w:pos="9240"/>
        </w:tabs>
        <w:ind w:left="7938"/>
        <w:rPr>
          <w:rFonts w:ascii="Verdana" w:hAnsi="Verdana"/>
          <w:i/>
          <w:iCs/>
          <w:sz w:val="24"/>
        </w:rPr>
      </w:pPr>
      <w:r w:rsidRPr="008729BE">
        <w:rPr>
          <w:rFonts w:ascii="Verdana" w:hAnsi="Verdana"/>
          <w:i/>
          <w:iCs/>
          <w:sz w:val="24"/>
        </w:rPr>
        <w:t>Mod. 5</w:t>
      </w:r>
    </w:p>
    <w:p w14:paraId="3BAA329B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12C515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24C93C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364902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6BF7E8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148CA9" w14:textId="259B7F36" w:rsidR="00AD6D8F" w:rsidRPr="00FF4022" w:rsidRDefault="003A6EB9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RELAZIONE DI SOSTENIBILIT</w:t>
      </w:r>
      <w:r w:rsidR="006E68EC"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AMBIENTALE</w:t>
      </w:r>
    </w:p>
    <w:p w14:paraId="4F64E39E" w14:textId="6E0C1C32" w:rsidR="00965B9B" w:rsidRPr="00FF4022" w:rsidRDefault="00965B9B" w:rsidP="0013419D">
      <w:pPr>
        <w:jc w:val="center"/>
        <w:rPr>
          <w:rFonts w:ascii="Verdana" w:hAnsi="Verdana" w:cstheme="minorHAnsi"/>
          <w:b/>
          <w:sz w:val="22"/>
        </w:rPr>
      </w:pPr>
    </w:p>
    <w:p w14:paraId="33A900EF" w14:textId="6F91E759" w:rsidR="00FF4022" w:rsidRPr="00FF4022" w:rsidRDefault="00FF4022" w:rsidP="00FF4022">
      <w:pPr>
        <w:ind w:right="425"/>
        <w:jc w:val="center"/>
        <w:rPr>
          <w:rFonts w:ascii="Verdana" w:hAnsi="Verdana"/>
          <w:sz w:val="24"/>
        </w:rPr>
      </w:pPr>
      <w:r w:rsidRPr="00FF4022">
        <w:rPr>
          <w:rFonts w:ascii="Verdana" w:hAnsi="Verdana"/>
          <w:sz w:val="24"/>
        </w:rPr>
        <w:t xml:space="preserve">(ai </w:t>
      </w:r>
      <w:r w:rsidR="00146CE3">
        <w:rPr>
          <w:rFonts w:ascii="Verdana" w:hAnsi="Verdana"/>
          <w:sz w:val="24"/>
        </w:rPr>
        <w:t xml:space="preserve">sensi dell’Allegato </w:t>
      </w:r>
      <w:r w:rsidR="00DB6097">
        <w:rPr>
          <w:rFonts w:ascii="Verdana" w:hAnsi="Verdana"/>
          <w:sz w:val="24"/>
        </w:rPr>
        <w:t>2</w:t>
      </w:r>
      <w:r w:rsidRPr="00F337D1">
        <w:rPr>
          <w:rFonts w:ascii="Verdana" w:hAnsi="Verdana"/>
          <w:sz w:val="24"/>
        </w:rPr>
        <w:t xml:space="preserve"> al</w:t>
      </w:r>
      <w:r w:rsidR="00810D9A" w:rsidRPr="00F337D1">
        <w:rPr>
          <w:rFonts w:ascii="Verdana" w:hAnsi="Verdana"/>
          <w:sz w:val="24"/>
        </w:rPr>
        <w:t xml:space="preserve">l’Avviso </w:t>
      </w:r>
      <w:r w:rsidR="00F337D1" w:rsidRPr="00F337D1">
        <w:rPr>
          <w:rFonts w:ascii="Verdana" w:hAnsi="Verdana"/>
          <w:sz w:val="24"/>
        </w:rPr>
        <w:t xml:space="preserve">del </w:t>
      </w:r>
      <w:r w:rsidR="00DB6097">
        <w:rPr>
          <w:rFonts w:ascii="Verdana" w:hAnsi="Verdana"/>
          <w:sz w:val="24"/>
        </w:rPr>
        <w:t>21</w:t>
      </w:r>
      <w:r w:rsidR="00146CE3">
        <w:rPr>
          <w:rFonts w:ascii="Verdana" w:hAnsi="Verdana"/>
          <w:sz w:val="24"/>
        </w:rPr>
        <w:t>.</w:t>
      </w:r>
      <w:r w:rsidR="00DB6097">
        <w:rPr>
          <w:rFonts w:ascii="Verdana" w:hAnsi="Verdana"/>
          <w:sz w:val="24"/>
        </w:rPr>
        <w:t>10</w:t>
      </w:r>
      <w:r w:rsidR="00146CE3">
        <w:rPr>
          <w:rFonts w:ascii="Verdana" w:hAnsi="Verdana"/>
          <w:sz w:val="24"/>
        </w:rPr>
        <w:t>.</w:t>
      </w:r>
      <w:r w:rsidR="00DB6097">
        <w:rPr>
          <w:rFonts w:ascii="Verdana" w:hAnsi="Verdana"/>
          <w:sz w:val="24"/>
        </w:rPr>
        <w:t>2022</w:t>
      </w:r>
      <w:r w:rsidRPr="00F337D1">
        <w:rPr>
          <w:rFonts w:ascii="Verdana" w:hAnsi="Verdana"/>
          <w:sz w:val="24"/>
        </w:rPr>
        <w:t>)</w:t>
      </w:r>
    </w:p>
    <w:p w14:paraId="61A28A85" w14:textId="77777777" w:rsidR="00FF4022" w:rsidRPr="00FF4022" w:rsidRDefault="00FF4022" w:rsidP="0013419D">
      <w:pPr>
        <w:jc w:val="center"/>
        <w:rPr>
          <w:rFonts w:ascii="Verdana" w:hAnsi="Verdana" w:cstheme="minorHAnsi"/>
          <w:b/>
          <w:sz w:val="22"/>
        </w:rPr>
      </w:pPr>
    </w:p>
    <w:p w14:paraId="6C7D1563" w14:textId="77777777" w:rsidR="00965B9B" w:rsidRPr="00FF4022" w:rsidRDefault="00965B9B" w:rsidP="0013419D">
      <w:pPr>
        <w:jc w:val="center"/>
        <w:rPr>
          <w:rFonts w:ascii="Verdana" w:hAnsi="Verdana" w:cstheme="minorHAnsi"/>
          <w:b/>
          <w:sz w:val="22"/>
        </w:rPr>
      </w:pPr>
    </w:p>
    <w:p w14:paraId="7EA48950" w14:textId="126BE4F0" w:rsidR="00965B9B" w:rsidRPr="00FF4022" w:rsidRDefault="00965B9B" w:rsidP="00927382">
      <w:pPr>
        <w:jc w:val="center"/>
        <w:rPr>
          <w:rFonts w:ascii="Verdana" w:hAnsi="Verdana" w:cstheme="minorHAnsi"/>
          <w:sz w:val="28"/>
        </w:rPr>
      </w:pPr>
    </w:p>
    <w:p w14:paraId="503A93DE" w14:textId="77777777" w:rsidR="000023E2" w:rsidRPr="00FF4022" w:rsidRDefault="000023E2" w:rsidP="00927382">
      <w:pPr>
        <w:jc w:val="center"/>
        <w:rPr>
          <w:rFonts w:ascii="Verdana" w:hAnsi="Verdana"/>
          <w:sz w:val="24"/>
        </w:rPr>
      </w:pPr>
    </w:p>
    <w:p w14:paraId="0934C86A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48F931D8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1AFA132C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74C3561F" w14:textId="77777777" w:rsidR="00965B9B" w:rsidRPr="00FF4022" w:rsidRDefault="00965B9B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265946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7F4AEA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63BA8D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7AEC43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310507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B1F059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69D75B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8CE864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9FBC81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377FE6" w14:textId="1716B0BD" w:rsidR="00851225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C870CFD" w14:textId="77777777" w:rsidR="00B14562" w:rsidRPr="00FF4022" w:rsidRDefault="00B14562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CBD143" w14:textId="77777777" w:rsidR="00965B9B" w:rsidRPr="00FF4022" w:rsidRDefault="00965B9B" w:rsidP="00927382">
      <w:pPr>
        <w:jc w:val="both"/>
        <w:rPr>
          <w:rFonts w:ascii="Verdana" w:hAnsi="Verdana"/>
          <w:b/>
          <w:sz w:val="24"/>
          <w:highlight w:val="yellow"/>
        </w:rPr>
      </w:pPr>
    </w:p>
    <w:p w14:paraId="13784B0A" w14:textId="17C55EC5" w:rsidR="00E92B46" w:rsidRPr="00FF4022" w:rsidRDefault="00FE266F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1 – Informazioni generali sul progetto</w:t>
      </w:r>
    </w:p>
    <w:p w14:paraId="79D0DB1F" w14:textId="77777777" w:rsidR="00B309F6" w:rsidRPr="00810D9A" w:rsidRDefault="00AB655B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810D9A">
        <w:rPr>
          <w:rFonts w:ascii="Verdana" w:hAnsi="Verdana" w:cstheme="minorHAnsi"/>
        </w:rPr>
        <w:t>Breve descrizione dell’iniziativa proposta</w:t>
      </w:r>
      <w:r w:rsidR="00895091" w:rsidRPr="00810D9A">
        <w:rPr>
          <w:rFonts w:ascii="Verdana" w:hAnsi="Verdana" w:cstheme="minorHAnsi"/>
        </w:rPr>
        <w:t xml:space="preserve">. </w:t>
      </w:r>
    </w:p>
    <w:p w14:paraId="0A573689" w14:textId="77777777" w:rsidR="00BE7038" w:rsidRPr="00FF4022" w:rsidRDefault="00BE7038" w:rsidP="004B16C8">
      <w:pPr>
        <w:spacing w:line="276" w:lineRule="auto"/>
        <w:jc w:val="both"/>
        <w:rPr>
          <w:rFonts w:ascii="Verdana" w:hAnsi="Verdana" w:cstheme="minorHAnsi"/>
          <w:i/>
          <w:iCs/>
          <w:sz w:val="22"/>
          <w:szCs w:val="22"/>
        </w:rPr>
      </w:pPr>
    </w:p>
    <w:p w14:paraId="2C174E76" w14:textId="2ADE8CDB" w:rsidR="00BE7038" w:rsidRPr="00FF4022" w:rsidRDefault="00BE7038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2 – Interventi previsti</w:t>
      </w:r>
    </w:p>
    <w:p w14:paraId="4CCA1BDC" w14:textId="75BA67DB" w:rsidR="00EA27A3" w:rsidRPr="00FF4022" w:rsidRDefault="00244F70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 xml:space="preserve">All’interno di ciascuno degli </w:t>
      </w:r>
      <w:r w:rsidR="0000745A" w:rsidRPr="00FF4022">
        <w:rPr>
          <w:rFonts w:ascii="Verdana" w:hAnsi="Verdana" w:cstheme="minorHAnsi"/>
        </w:rPr>
        <w:t xml:space="preserve">obiettivi </w:t>
      </w:r>
      <w:r w:rsidR="00297DBF" w:rsidRPr="00FF4022">
        <w:rPr>
          <w:rFonts w:ascii="Verdana" w:hAnsi="Verdana" w:cstheme="minorHAnsi"/>
        </w:rPr>
        <w:t>ambientali DNSH</w:t>
      </w:r>
      <w:r w:rsidR="0013419D" w:rsidRPr="00FF4022">
        <w:rPr>
          <w:rFonts w:ascii="Verdana" w:hAnsi="Verdana" w:cstheme="minorHAnsi"/>
        </w:rPr>
        <w:t>, qualora</w:t>
      </w:r>
      <w:r w:rsidR="00C233C4" w:rsidRPr="00FF4022">
        <w:rPr>
          <w:rFonts w:ascii="Verdana" w:hAnsi="Verdana" w:cstheme="minorHAnsi"/>
        </w:rPr>
        <w:t xml:space="preserve"> applicabili</w:t>
      </w:r>
      <w:r w:rsidR="00297DBF" w:rsidRPr="00FF4022">
        <w:rPr>
          <w:rFonts w:ascii="Verdana" w:hAnsi="Verdana" w:cstheme="minorHAnsi"/>
        </w:rPr>
        <w:t>, d</w:t>
      </w:r>
      <w:r w:rsidR="00480F04" w:rsidRPr="00FF4022">
        <w:rPr>
          <w:rFonts w:ascii="Verdana" w:hAnsi="Verdana" w:cstheme="minorHAnsi"/>
        </w:rPr>
        <w:t>escrivere</w:t>
      </w:r>
      <w:r w:rsidR="00EA27A3" w:rsidRPr="00FF4022">
        <w:rPr>
          <w:rFonts w:ascii="Verdana" w:hAnsi="Verdana" w:cstheme="minorHAnsi"/>
        </w:rPr>
        <w:t>:</w:t>
      </w:r>
    </w:p>
    <w:p w14:paraId="5C60AAD3" w14:textId="12F67CD8" w:rsidR="00FB1BD5" w:rsidRPr="00FF4022" w:rsidRDefault="00763BBA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tipologia di</w:t>
      </w:r>
      <w:r w:rsidR="0074004D" w:rsidRPr="00FF4022">
        <w:rPr>
          <w:rFonts w:ascii="Verdana" w:hAnsi="Verdana" w:cstheme="minorHAnsi"/>
        </w:rPr>
        <w:t xml:space="preserve"> attività previste</w:t>
      </w:r>
      <w:r w:rsidR="00C14AB1" w:rsidRPr="00FF4022">
        <w:rPr>
          <w:rFonts w:ascii="Verdana" w:hAnsi="Verdana" w:cstheme="minorHAnsi"/>
        </w:rPr>
        <w:t>;</w:t>
      </w:r>
    </w:p>
    <w:p w14:paraId="5D8807F0" w14:textId="77777777" w:rsidR="006D4F9A" w:rsidRPr="00FF4022" w:rsidRDefault="00FB1BD5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 xml:space="preserve">tecnologie utilizzate </w:t>
      </w:r>
      <w:r w:rsidR="006D4F9A" w:rsidRPr="00FF4022">
        <w:rPr>
          <w:rFonts w:ascii="Verdana" w:hAnsi="Verdana" w:cstheme="minorHAnsi"/>
        </w:rPr>
        <w:t>per raggiungere gli obiettivi;</w:t>
      </w:r>
    </w:p>
    <w:p w14:paraId="405D4CAC" w14:textId="2256735A" w:rsidR="00ED1469" w:rsidRPr="00FF4022" w:rsidRDefault="00255299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quantificazione degli</w:t>
      </w:r>
      <w:r w:rsidR="00763BBA" w:rsidRPr="00FF4022">
        <w:rPr>
          <w:rFonts w:ascii="Verdana" w:hAnsi="Verdana" w:cstheme="minorHAnsi"/>
        </w:rPr>
        <w:t xml:space="preserve"> in</w:t>
      </w:r>
      <w:r w:rsidR="00FB6F89" w:rsidRPr="00FF4022">
        <w:rPr>
          <w:rFonts w:ascii="Verdana" w:hAnsi="Verdana" w:cstheme="minorHAnsi"/>
        </w:rPr>
        <w:t>vestimenti</w:t>
      </w:r>
      <w:r w:rsidR="00C46469" w:rsidRPr="00FF4022">
        <w:rPr>
          <w:rFonts w:ascii="Verdana" w:hAnsi="Verdana" w:cstheme="minorHAnsi"/>
        </w:rPr>
        <w:t>.</w:t>
      </w:r>
    </w:p>
    <w:p w14:paraId="4A0BC530" w14:textId="77777777" w:rsidR="00FF4022" w:rsidRPr="00FF4022" w:rsidRDefault="00FF4022" w:rsidP="00FF4022">
      <w:pPr>
        <w:spacing w:before="120" w:after="120"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74A346AE" w14:textId="64126289" w:rsidR="00BE7038" w:rsidRPr="00FF4022" w:rsidRDefault="00ED1469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 – Risultati attesi</w:t>
      </w:r>
    </w:p>
    <w:p w14:paraId="05535DC9" w14:textId="18EAB706" w:rsidR="00C03DA4" w:rsidRPr="00FF4022" w:rsidRDefault="00D32D15" w:rsidP="004B16C8">
      <w:pPr>
        <w:spacing w:before="120" w:after="120"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 xml:space="preserve">3.1 </w:t>
      </w:r>
      <w:r w:rsidR="00805F49" w:rsidRPr="00FF4022">
        <w:rPr>
          <w:rFonts w:ascii="Verdana" w:hAnsi="Verdana" w:cstheme="minorHAnsi"/>
          <w:b/>
          <w:bCs/>
          <w:sz w:val="22"/>
          <w:szCs w:val="22"/>
        </w:rPr>
        <w:t>Valutazione di sostenibilità</w:t>
      </w:r>
    </w:p>
    <w:p w14:paraId="7FC470C0" w14:textId="17EF1102" w:rsidR="00E772DB" w:rsidRPr="00FF4022" w:rsidRDefault="00E772DB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Fornire di seguito tutti i dettagli disponibili in merito al “</w:t>
      </w:r>
      <w:r w:rsidRPr="00FF4022">
        <w:rPr>
          <w:rFonts w:ascii="Verdana" w:hAnsi="Verdana" w:cstheme="minorHAnsi"/>
          <w:i/>
          <w:iCs/>
        </w:rPr>
        <w:t>contributo sostanziale</w:t>
      </w:r>
      <w:r w:rsidRPr="00FF4022">
        <w:rPr>
          <w:rFonts w:ascii="Verdana" w:hAnsi="Verdana" w:cstheme="minorHAnsi"/>
        </w:rPr>
        <w:t xml:space="preserve">” per il raggiungimento </w:t>
      </w:r>
      <w:r w:rsidR="004865DA">
        <w:rPr>
          <w:rFonts w:ascii="Verdana" w:hAnsi="Verdana" w:cstheme="minorHAnsi"/>
        </w:rPr>
        <w:t xml:space="preserve">di uno o più </w:t>
      </w:r>
      <w:r w:rsidRPr="00FF4022">
        <w:rPr>
          <w:rFonts w:ascii="Verdana" w:hAnsi="Verdana" w:cstheme="minorHAnsi"/>
        </w:rPr>
        <w:t>obiettivi ambientali</w:t>
      </w:r>
      <w:r w:rsidR="0005396C" w:rsidRPr="00FF4022">
        <w:rPr>
          <w:rFonts w:ascii="Verdana" w:hAnsi="Verdana" w:cstheme="minorHAnsi"/>
        </w:rPr>
        <w:t xml:space="preserve"> pertinenti</w:t>
      </w:r>
      <w:r w:rsidR="00E90C49" w:rsidRPr="00FF4022">
        <w:rPr>
          <w:rFonts w:ascii="Verdana" w:hAnsi="Verdana" w:cstheme="minorHAnsi"/>
        </w:rPr>
        <w:t>,</w:t>
      </w:r>
      <w:r w:rsidR="0005396C" w:rsidRPr="00FF4022">
        <w:rPr>
          <w:rFonts w:ascii="Verdana" w:hAnsi="Verdana" w:cstheme="minorHAnsi"/>
        </w:rPr>
        <w:t xml:space="preserve"> </w:t>
      </w:r>
      <w:r w:rsidR="000C7E79" w:rsidRPr="00FF4022">
        <w:rPr>
          <w:rFonts w:ascii="Verdana" w:hAnsi="Verdana" w:cstheme="minorHAnsi"/>
        </w:rPr>
        <w:t>come descritti nella Tabella 1</w:t>
      </w:r>
      <w:r w:rsidR="00E90C49" w:rsidRPr="00FF4022">
        <w:rPr>
          <w:rFonts w:ascii="Verdana" w:hAnsi="Verdana" w:cstheme="minorHAnsi"/>
        </w:rPr>
        <w:t xml:space="preserve"> (</w:t>
      </w:r>
      <w:r w:rsidR="00E90C49" w:rsidRPr="00FF4022">
        <w:rPr>
          <w:rFonts w:ascii="Verdana" w:hAnsi="Verdana" w:cstheme="minorHAnsi"/>
          <w:u w:val="single"/>
        </w:rPr>
        <w:t>valutazione di sostenibilità positiva)</w:t>
      </w:r>
      <w:r w:rsidRPr="00FF4022">
        <w:rPr>
          <w:rFonts w:ascii="Verdana" w:hAnsi="Verdana" w:cstheme="minorHAnsi"/>
        </w:rPr>
        <w:t>. Quando è dimostrato il "</w:t>
      </w:r>
      <w:r w:rsidRPr="00DB6097">
        <w:rPr>
          <w:rFonts w:ascii="Verdana" w:hAnsi="Verdana" w:cstheme="minorHAnsi"/>
          <w:i/>
        </w:rPr>
        <w:t>contributo sostanziale</w:t>
      </w:r>
      <w:r w:rsidRPr="00FF4022">
        <w:rPr>
          <w:rFonts w:ascii="Verdana" w:hAnsi="Verdana" w:cstheme="minorHAnsi"/>
        </w:rPr>
        <w:t xml:space="preserve">" ad almeno uno dei sei obiettivi, si considera implicita la conformità al principio DNSH per tale obiettivo. </w:t>
      </w:r>
    </w:p>
    <w:p w14:paraId="65490F51" w14:textId="5614B54E" w:rsidR="00802F29" w:rsidRDefault="00FD3231" w:rsidP="004B16C8">
      <w:pPr>
        <w:spacing w:before="120" w:after="120" w:line="276" w:lineRule="auto"/>
        <w:jc w:val="both"/>
        <w:rPr>
          <w:rFonts w:ascii="Verdana" w:hAnsi="Verdana" w:cstheme="minorHAnsi"/>
          <w:spacing w:val="-2"/>
        </w:rPr>
      </w:pPr>
      <w:r w:rsidRPr="00810D9A">
        <w:rPr>
          <w:rFonts w:ascii="Verdana" w:hAnsi="Verdana" w:cstheme="minorHAnsi"/>
          <w:spacing w:val="-2"/>
        </w:rPr>
        <w:t xml:space="preserve">Riguardo i restanti cinque obiettivi ambientali, qualora pertinenti, si dovrà quindi </w:t>
      </w:r>
      <w:r w:rsidRPr="00FF4022">
        <w:rPr>
          <w:rFonts w:ascii="Verdana" w:hAnsi="Verdana" w:cstheme="minorHAnsi"/>
          <w:spacing w:val="-2"/>
        </w:rPr>
        <w:t>dimostrare la sola assenza di danno significativo. A tal fine, sarà necessario fornire le informazioni minime, riportate</w:t>
      </w:r>
      <w:r w:rsidR="00F350F5" w:rsidRPr="00FF4022">
        <w:rPr>
          <w:rFonts w:ascii="Verdana" w:hAnsi="Verdana" w:cstheme="minorHAnsi"/>
          <w:spacing w:val="-2"/>
        </w:rPr>
        <w:t xml:space="preserve"> sinteticamente</w:t>
      </w:r>
      <w:r w:rsidRPr="00FF4022">
        <w:rPr>
          <w:rFonts w:ascii="Verdana" w:hAnsi="Verdana" w:cstheme="minorHAnsi"/>
          <w:spacing w:val="-2"/>
        </w:rPr>
        <w:t xml:space="preserve"> ai punti successivi, di cui </w:t>
      </w:r>
      <w:r w:rsidR="00F350F5" w:rsidRPr="00FF4022">
        <w:rPr>
          <w:rFonts w:ascii="Verdana" w:hAnsi="Verdana" w:cstheme="minorHAnsi"/>
          <w:spacing w:val="-2"/>
        </w:rPr>
        <w:t>alle</w:t>
      </w:r>
      <w:r w:rsidRPr="00FF4022">
        <w:rPr>
          <w:rFonts w:ascii="Verdana" w:hAnsi="Verdana" w:cstheme="minorHAnsi"/>
          <w:spacing w:val="-2"/>
        </w:rPr>
        <w:t xml:space="preserve"> Schede allegate alla Circolare MEF 32/2021 indicate in Tabella 2.</w:t>
      </w:r>
    </w:p>
    <w:p w14:paraId="2DB3D2A5" w14:textId="77777777" w:rsidR="00802F29" w:rsidRPr="00802F29" w:rsidRDefault="00802F29" w:rsidP="004B16C8">
      <w:pPr>
        <w:spacing w:before="120" w:after="120" w:line="276" w:lineRule="auto"/>
        <w:jc w:val="both"/>
        <w:rPr>
          <w:rFonts w:ascii="Verdana" w:hAnsi="Verdana" w:cstheme="minorHAnsi"/>
          <w:spacing w:val="-2"/>
          <w:sz w:val="10"/>
        </w:rPr>
      </w:pPr>
    </w:p>
    <w:p w14:paraId="067DE3F6" w14:textId="2BFD12E0" w:rsidR="00F33740" w:rsidRPr="00FF4022" w:rsidRDefault="00D32D15" w:rsidP="004B16C8">
      <w:pPr>
        <w:spacing w:before="120" w:after="120"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Pr="00FF4022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A31388" w:rsidRPr="00FF4022">
        <w:rPr>
          <w:rFonts w:ascii="Verdana" w:hAnsi="Verdana" w:cstheme="minorHAnsi"/>
          <w:b/>
          <w:bCs/>
          <w:sz w:val="22"/>
          <w:szCs w:val="22"/>
        </w:rPr>
        <w:t>Conformità al principio DNSH</w:t>
      </w:r>
    </w:p>
    <w:p w14:paraId="0EE0D407" w14:textId="737C427B" w:rsidR="0032185F" w:rsidRDefault="00A31388" w:rsidP="004B16C8">
      <w:pPr>
        <w:spacing w:line="276" w:lineRule="auto"/>
        <w:jc w:val="both"/>
        <w:rPr>
          <w:rFonts w:ascii="Verdana" w:hAnsi="Verdana" w:cstheme="minorHAnsi"/>
          <w:b/>
          <w:bCs/>
          <w:i/>
          <w:iCs/>
          <w:sz w:val="22"/>
          <w:szCs w:val="22"/>
        </w:rPr>
      </w:pPr>
      <w:r w:rsidRPr="00FF4022">
        <w:rPr>
          <w:rFonts w:ascii="Verdana" w:hAnsi="Verdana" w:cstheme="minorHAnsi"/>
          <w:i/>
          <w:iCs/>
        </w:rPr>
        <w:t>Di seguito, per ciascuno degli obiettivi ambientali, sono forniti e</w:t>
      </w:r>
      <w:r w:rsidR="00A51E89" w:rsidRPr="00FF4022">
        <w:rPr>
          <w:rFonts w:ascii="Verdana" w:hAnsi="Verdana" w:cstheme="minorHAnsi"/>
          <w:i/>
          <w:iCs/>
        </w:rPr>
        <w:t xml:space="preserve">sempi </w:t>
      </w:r>
      <w:r w:rsidR="004865DA">
        <w:rPr>
          <w:rFonts w:ascii="Verdana" w:hAnsi="Verdana" w:cstheme="minorHAnsi"/>
          <w:i/>
          <w:iCs/>
        </w:rPr>
        <w:t>dei</w:t>
      </w:r>
      <w:r w:rsidR="00A51E89" w:rsidRPr="00FF4022">
        <w:rPr>
          <w:rFonts w:ascii="Verdana" w:hAnsi="Verdana" w:cstheme="minorHAnsi"/>
          <w:i/>
          <w:iCs/>
        </w:rPr>
        <w:t xml:space="preserve"> contenuti minimi delle Schede allegate alla Circolare MEF 32/2021 come indicate in Tabella 2.</w:t>
      </w:r>
    </w:p>
    <w:p w14:paraId="52E12B1B" w14:textId="77777777" w:rsidR="0032185F" w:rsidRPr="00FF4022" w:rsidRDefault="0032185F" w:rsidP="004B16C8">
      <w:pPr>
        <w:spacing w:line="276" w:lineRule="auto"/>
        <w:jc w:val="both"/>
        <w:rPr>
          <w:rFonts w:ascii="Verdana" w:hAnsi="Verdana" w:cstheme="minorHAnsi"/>
          <w:b/>
          <w:bCs/>
          <w:i/>
          <w:iCs/>
          <w:sz w:val="22"/>
          <w:szCs w:val="22"/>
        </w:rPr>
      </w:pPr>
    </w:p>
    <w:p w14:paraId="57C9BA08" w14:textId="757798CD" w:rsidR="00AC3A1D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512323" w:rsidRPr="00FF4022">
        <w:rPr>
          <w:rFonts w:ascii="Verdana" w:hAnsi="Verdana" w:cstheme="minorHAnsi"/>
          <w:b/>
          <w:bCs/>
          <w:sz w:val="22"/>
          <w:szCs w:val="22"/>
        </w:rPr>
        <w:t>1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512323" w:rsidRPr="00FF4022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Mitigazione dei cambiamenti climatici</w:t>
      </w:r>
    </w:p>
    <w:p w14:paraId="40326A8C" w14:textId="77777777" w:rsidR="0032185F" w:rsidRPr="0032185F" w:rsidRDefault="0032185F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3EDB898D" w14:textId="77777777" w:rsidR="00C734D9" w:rsidRDefault="00286423" w:rsidP="00C734D9">
      <w:pPr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 w:cstheme="minorHAnsi"/>
        </w:rPr>
        <w:t xml:space="preserve">Scheda 2 - Ristrutturazioni e riqualificazioni di edifici residenziali e non: </w:t>
      </w:r>
    </w:p>
    <w:p w14:paraId="6637F354" w14:textId="121C2C98" w:rsidR="00C734D9" w:rsidRPr="00BF79BA" w:rsidRDefault="00C734D9" w:rsidP="00C734D9">
      <w:pPr>
        <w:spacing w:line="276" w:lineRule="auto"/>
        <w:jc w:val="both"/>
        <w:rPr>
          <w:rFonts w:ascii="Verdana" w:hAnsi="Verdana"/>
        </w:rPr>
      </w:pPr>
      <w:r w:rsidRPr="00BF79BA">
        <w:rPr>
          <w:rFonts w:ascii="Verdana" w:hAnsi="Verdana"/>
        </w:rPr>
        <w:t xml:space="preserve">in caso di </w:t>
      </w:r>
      <w:r w:rsidRPr="00BF79BA">
        <w:rPr>
          <w:rFonts w:ascii="Verdana" w:hAnsi="Verdana"/>
          <w:b/>
          <w:bCs/>
        </w:rPr>
        <w:t>ristrutturazioni e riqualificazioni di edifici</w:t>
      </w:r>
      <w:r w:rsidRPr="00BF79BA">
        <w:rPr>
          <w:rFonts w:ascii="Verdana" w:hAnsi="Verdana"/>
        </w:rPr>
        <w:t xml:space="preserve">, è necessario </w:t>
      </w:r>
      <w:r w:rsidR="00441C58">
        <w:rPr>
          <w:rFonts w:ascii="Verdana" w:hAnsi="Verdana"/>
        </w:rPr>
        <w:t xml:space="preserve">che il soggetto beneficiario </w:t>
      </w:r>
      <w:r w:rsidRPr="00BF79BA">
        <w:rPr>
          <w:rFonts w:ascii="Verdana" w:hAnsi="Verdana"/>
        </w:rPr>
        <w:t>prend</w:t>
      </w:r>
      <w:r w:rsidR="00441C58">
        <w:rPr>
          <w:rFonts w:ascii="Verdana" w:hAnsi="Verdana"/>
        </w:rPr>
        <w:t>a</w:t>
      </w:r>
      <w:r w:rsidRPr="00BF79BA">
        <w:rPr>
          <w:rFonts w:ascii="Verdana" w:hAnsi="Verdana"/>
        </w:rPr>
        <w:t xml:space="preserve"> in considerazione almeno uno dei seguenti criteri di ammissibilità:</w:t>
      </w:r>
    </w:p>
    <w:p w14:paraId="0B7EB915" w14:textId="77777777" w:rsidR="00C734D9" w:rsidRPr="00C734D9" w:rsidRDefault="00C734D9" w:rsidP="00C734D9">
      <w:pPr>
        <w:pStyle w:val="Paragrafoelenco"/>
        <w:numPr>
          <w:ilvl w:val="0"/>
          <w:numId w:val="41"/>
        </w:numPr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ristrutturazione importante</w:t>
      </w:r>
      <w:r w:rsidRPr="00BF79BA">
        <w:rPr>
          <w:rStyle w:val="Rimandonotaapidipagina"/>
          <w:rFonts w:ascii="Verdana" w:hAnsi="Verdana"/>
        </w:rPr>
        <w:footnoteReference w:id="1"/>
      </w:r>
      <w:r w:rsidRPr="00C734D9">
        <w:rPr>
          <w:rFonts w:ascii="Verdana" w:hAnsi="Verdana"/>
        </w:rPr>
        <w:t xml:space="preserve"> (corrispondente a ristrutturazione importante primo livello e secondo livello) e demolizione e ricostruzione: impegno a rispettare i requisiti stabiliti nei regolamenti edilizi applicabili per la “</w:t>
      </w:r>
      <w:r w:rsidRPr="00DB6097">
        <w:rPr>
          <w:rFonts w:ascii="Verdana" w:hAnsi="Verdana"/>
          <w:i/>
        </w:rPr>
        <w:t>ristrutturazione importante</w:t>
      </w:r>
      <w:r w:rsidRPr="00C734D9">
        <w:rPr>
          <w:rFonts w:ascii="Verdana" w:hAnsi="Verdana"/>
        </w:rPr>
        <w:t>” definiti al Decreto interministeriale 26 giugno 2015 - Applicazione delle metodologie di calcolo delle prestazioni energetiche e definizione delle prescrizioni e dei requisiti minimi degli edifici che recepiscono la direttiva sul rendimento energetico degli edifici (EPBD);</w:t>
      </w:r>
    </w:p>
    <w:p w14:paraId="178F0CC2" w14:textId="77777777" w:rsidR="00C734D9" w:rsidRPr="00CD227D" w:rsidRDefault="00C734D9" w:rsidP="00C734D9">
      <w:pPr>
        <w:pStyle w:val="Paragrafoelenco"/>
        <w:spacing w:line="276" w:lineRule="auto"/>
        <w:ind w:left="2268"/>
        <w:jc w:val="both"/>
        <w:rPr>
          <w:rFonts w:ascii="Verdana" w:hAnsi="Verdana"/>
        </w:rPr>
      </w:pPr>
    </w:p>
    <w:p w14:paraId="65E935CE" w14:textId="32C89BBA" w:rsidR="00C734D9" w:rsidRPr="007C4E51" w:rsidRDefault="00C734D9" w:rsidP="00C734D9">
      <w:pPr>
        <w:pStyle w:val="Paragrafoelenco"/>
        <w:numPr>
          <w:ilvl w:val="0"/>
          <w:numId w:val="40"/>
        </w:numPr>
        <w:spacing w:line="276" w:lineRule="auto"/>
        <w:jc w:val="both"/>
        <w:rPr>
          <w:rFonts w:ascii="Verdana" w:hAnsi="Verdana"/>
        </w:rPr>
      </w:pPr>
      <w:r w:rsidRPr="007C4E51">
        <w:rPr>
          <w:rFonts w:ascii="Verdana" w:hAnsi="Verdana"/>
        </w:rPr>
        <w:t xml:space="preserve">In alternativa </w:t>
      </w:r>
      <w:r w:rsidR="00441C58" w:rsidRPr="007C4E51">
        <w:rPr>
          <w:rFonts w:ascii="Verdana" w:hAnsi="Verdana"/>
        </w:rPr>
        <w:t xml:space="preserve">il soggetto beneficiario dovrà garantire che </w:t>
      </w:r>
      <w:r w:rsidRPr="007C4E51">
        <w:rPr>
          <w:rFonts w:ascii="Verdana" w:hAnsi="Verdana"/>
        </w:rPr>
        <w:t xml:space="preserve">l’intervento </w:t>
      </w:r>
      <w:r w:rsidR="00441C58" w:rsidRPr="007C4E51">
        <w:rPr>
          <w:rFonts w:ascii="Verdana" w:hAnsi="Verdana"/>
        </w:rPr>
        <w:t>consenta</w:t>
      </w:r>
      <w:r w:rsidRPr="007C4E51">
        <w:rPr>
          <w:rFonts w:ascii="Verdana" w:hAnsi="Verdana"/>
        </w:rPr>
        <w:t xml:space="preserve"> un risparmio nel fabbisogno di energia primaria globale (</w:t>
      </w:r>
      <w:proofErr w:type="spellStart"/>
      <w:r w:rsidRPr="007C4E51">
        <w:rPr>
          <w:rFonts w:ascii="Verdana" w:hAnsi="Verdana"/>
        </w:rPr>
        <w:t>EPgl,tot</w:t>
      </w:r>
      <w:proofErr w:type="spellEnd"/>
      <w:r w:rsidRPr="007C4E51">
        <w:rPr>
          <w:rFonts w:ascii="Verdana" w:hAnsi="Verdana"/>
        </w:rPr>
        <w:t>) almeno pari al 30%</w:t>
      </w:r>
      <w:r w:rsidRPr="007C4E51">
        <w:rPr>
          <w:rStyle w:val="Rimandonotaapidipagina"/>
          <w:rFonts w:ascii="Verdana" w:hAnsi="Verdana"/>
        </w:rPr>
        <w:footnoteReference w:id="2"/>
      </w:r>
      <w:r w:rsidRPr="007C4E51">
        <w:rPr>
          <w:rFonts w:ascii="Verdana" w:hAnsi="Verdana"/>
        </w:rPr>
        <w:t xml:space="preserve"> rispetto al fabbisogno di energia primaria precedente l’intervento.</w:t>
      </w:r>
    </w:p>
    <w:p w14:paraId="58EDEDB7" w14:textId="77777777" w:rsidR="00C734D9" w:rsidRPr="007C4E51" w:rsidRDefault="00C734D9" w:rsidP="00C734D9">
      <w:pPr>
        <w:spacing w:line="276" w:lineRule="auto"/>
        <w:jc w:val="both"/>
        <w:rPr>
          <w:rFonts w:ascii="Verdana" w:hAnsi="Verdana"/>
        </w:rPr>
      </w:pPr>
    </w:p>
    <w:p w14:paraId="6FD962EE" w14:textId="7DE16383" w:rsidR="00C734D9" w:rsidRPr="007C4E51" w:rsidRDefault="00441C58" w:rsidP="00C734D9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C4E51">
        <w:rPr>
          <w:rFonts w:ascii="Verdana" w:hAnsi="Verdana"/>
        </w:rPr>
        <w:t>Il soggetto beneficiario dovrà garantire che l</w:t>
      </w:r>
      <w:r w:rsidR="00C734D9" w:rsidRPr="007C4E51">
        <w:rPr>
          <w:rFonts w:ascii="Verdana" w:hAnsi="Verdana"/>
        </w:rPr>
        <w:t>e misure indi</w:t>
      </w:r>
      <w:r w:rsidRPr="007C4E51">
        <w:rPr>
          <w:rFonts w:ascii="Verdana" w:hAnsi="Verdana"/>
        </w:rPr>
        <w:t xml:space="preserve">viduali di ristrutturazione </w:t>
      </w:r>
      <w:r w:rsidR="007C4E51" w:rsidRPr="007C4E51">
        <w:rPr>
          <w:rFonts w:ascii="Verdana" w:hAnsi="Verdana"/>
        </w:rPr>
        <w:t>risulteranno</w:t>
      </w:r>
      <w:r w:rsidRPr="007C4E51">
        <w:rPr>
          <w:rFonts w:ascii="Verdana" w:hAnsi="Verdana"/>
        </w:rPr>
        <w:t xml:space="preserve"> ammissibili</w:t>
      </w:r>
      <w:r w:rsidR="00C734D9" w:rsidRPr="007C4E51">
        <w:rPr>
          <w:rFonts w:ascii="Verdana" w:hAnsi="Verdana"/>
        </w:rPr>
        <w:t xml:space="preserve"> </w:t>
      </w:r>
      <w:r w:rsidR="007C4E51" w:rsidRPr="007C4E51">
        <w:rPr>
          <w:rFonts w:ascii="Verdana" w:hAnsi="Verdana"/>
        </w:rPr>
        <w:t>in quanto coerenti</w:t>
      </w:r>
      <w:r w:rsidR="00C734D9" w:rsidRPr="007C4E51">
        <w:rPr>
          <w:rFonts w:ascii="Verdana" w:hAnsi="Verdana"/>
        </w:rPr>
        <w:t xml:space="preserve"> </w:t>
      </w:r>
      <w:r w:rsidR="007C4E51" w:rsidRPr="007C4E51">
        <w:rPr>
          <w:rFonts w:ascii="Verdana" w:hAnsi="Verdana"/>
        </w:rPr>
        <w:t xml:space="preserve">con tutti </w:t>
      </w:r>
      <w:r w:rsidR="00C734D9" w:rsidRPr="007C4E51">
        <w:rPr>
          <w:rFonts w:ascii="Verdana" w:hAnsi="Verdana"/>
        </w:rPr>
        <w:t>i requisiti seguenti:</w:t>
      </w:r>
    </w:p>
    <w:p w14:paraId="39D8D85A" w14:textId="40238926" w:rsidR="00C734D9" w:rsidRP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rispettano la conformità ai requisiti minimi fissati per i singoli componenti e sistemi nel Decreto interministeriale 26 giugno 2015.</w:t>
      </w:r>
    </w:p>
    <w:p w14:paraId="10AF3623" w14:textId="77777777" w:rsid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Nel caso in cui sia applicabile, tali componenti, sono classificate nelle due classi di efficienza energetica più elevate, conformemente al regolamento (UE) 2017/1369 e agli atti delegati adottati a norma di detto regolamento;</w:t>
      </w:r>
    </w:p>
    <w:p w14:paraId="00827AEB" w14:textId="1EDFF463" w:rsidR="00C734D9" w:rsidRP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 xml:space="preserve">l’attività è riconducibile a </w:t>
      </w:r>
      <w:r w:rsidRPr="00C734D9">
        <w:rPr>
          <w:rFonts w:ascii="Verdana" w:hAnsi="Verdana"/>
          <w:b/>
          <w:u w:val="single"/>
        </w:rPr>
        <w:t>uno</w:t>
      </w:r>
      <w:r w:rsidRPr="00C734D9">
        <w:rPr>
          <w:rFonts w:ascii="Verdana" w:hAnsi="Verdana"/>
        </w:rPr>
        <w:t xml:space="preserve"> dei seguenti interventi:</w:t>
      </w:r>
    </w:p>
    <w:p w14:paraId="28B24D08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 xml:space="preserve">coibentazione di elementi </w:t>
      </w:r>
      <w:r>
        <w:rPr>
          <w:rFonts w:ascii="Verdana" w:hAnsi="Verdana"/>
        </w:rPr>
        <w:t xml:space="preserve">dell’involucro </w:t>
      </w:r>
      <w:r w:rsidRPr="008A71EF">
        <w:rPr>
          <w:rFonts w:ascii="Verdana" w:hAnsi="Verdana"/>
        </w:rPr>
        <w:t>esistenti, come pareti esterne (compresi i muri verdi), tetti (compresi i tetti verdi),</w:t>
      </w:r>
      <w:r>
        <w:rPr>
          <w:rFonts w:ascii="Verdana" w:hAnsi="Verdana"/>
        </w:rPr>
        <w:t xml:space="preserve"> </w:t>
      </w:r>
      <w:r w:rsidRPr="008A71EF">
        <w:rPr>
          <w:rFonts w:ascii="Verdana" w:hAnsi="Verdana"/>
        </w:rPr>
        <w:t>solai, scantinati e piani terra (comprese le misure per garantire la tenuta all'aria, le misure per ridurre gli effetti dei ponti termici e delle impalcature) e prodotti per l'applicazione dell’isolamento all’involucro</w:t>
      </w:r>
      <w:r>
        <w:rPr>
          <w:rFonts w:ascii="Verdana" w:hAnsi="Verdana"/>
        </w:rPr>
        <w:t xml:space="preserve"> </w:t>
      </w:r>
      <w:r w:rsidRPr="008A71EF">
        <w:rPr>
          <w:rFonts w:ascii="Verdana" w:hAnsi="Verdana"/>
        </w:rPr>
        <w:t>dell'edificio (compresi i dispositivi di fissaggio meccanico e l'adesivo);</w:t>
      </w:r>
    </w:p>
    <w:p w14:paraId="5B420692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>sostituzione degli infissi con nuovi infissi con migliori prestazioni energetiche;</w:t>
      </w:r>
    </w:p>
    <w:p w14:paraId="0F02EC24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>sostituzione delle porte esterne esistenti con nuove porte efficienti dal punto di vista energetico;</w:t>
      </w:r>
    </w:p>
    <w:p w14:paraId="7E29DBD2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429F1">
        <w:rPr>
          <w:rFonts w:ascii="Verdana" w:hAnsi="Verdana"/>
        </w:rPr>
        <w:t>installazione e sostituzione di sorgenti luminose efficienti dal punto di vista energetico;</w:t>
      </w:r>
    </w:p>
    <w:p w14:paraId="26E2F0B7" w14:textId="43D0BE54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429F1">
        <w:rPr>
          <w:rFonts w:ascii="Verdana" w:hAnsi="Verdana"/>
        </w:rPr>
        <w:t>installazione, sostituzione, manutenzione e riparazione di impianti di riscaldamento, ventilazione e condizionamento dell'aria e di riscaldamento dell'acqua, comprese le apparecchiature relative ai servizi di teleriscaldamento, con tecnologie ad alta efficienza;</w:t>
      </w:r>
    </w:p>
    <w:p w14:paraId="0375E55A" w14:textId="77777777" w:rsidR="00CD227D" w:rsidRPr="005207EB" w:rsidRDefault="00CD227D" w:rsidP="00CD227D">
      <w:pPr>
        <w:autoSpaceDE w:val="0"/>
        <w:autoSpaceDN w:val="0"/>
        <w:adjustRightInd w:val="0"/>
        <w:rPr>
          <w:rFonts w:ascii="Verdana" w:hAnsi="Verdana" w:cstheme="minorHAnsi"/>
        </w:rPr>
      </w:pPr>
    </w:p>
    <w:p w14:paraId="49116218" w14:textId="5E6B0D94" w:rsidR="00450060" w:rsidRDefault="007A1CEF" w:rsidP="002E42FB">
      <w:pPr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Nel caso di a</w:t>
      </w:r>
      <w:r w:rsidR="002E42FB">
        <w:rPr>
          <w:rFonts w:ascii="Verdana" w:hAnsi="Verdana" w:cstheme="minorHAnsi"/>
        </w:rPr>
        <w:t xml:space="preserve">cquisto, </w:t>
      </w:r>
      <w:r>
        <w:rPr>
          <w:rFonts w:ascii="Verdana" w:hAnsi="Verdana" w:cstheme="minorHAnsi"/>
        </w:rPr>
        <w:t xml:space="preserve">di veicoli, la relazione deve dimostrare </w:t>
      </w:r>
      <w:r w:rsidR="00CF2F36" w:rsidRPr="00CF2F36">
        <w:rPr>
          <w:rFonts w:ascii="Verdana" w:hAnsi="Verdana" w:cstheme="minorHAnsi"/>
        </w:rPr>
        <w:t xml:space="preserve">la significativa riduzione di emissioni di gas a effetto serra relative </w:t>
      </w:r>
      <w:r w:rsidR="008C167C">
        <w:rPr>
          <w:rFonts w:ascii="Verdana" w:hAnsi="Verdana" w:cstheme="minorHAnsi"/>
        </w:rPr>
        <w:t>alle rispettive categorie di veicoli</w:t>
      </w:r>
      <w:r w:rsidR="00CF2F36">
        <w:rPr>
          <w:rFonts w:ascii="Verdana" w:hAnsi="Verdana" w:cstheme="minorHAnsi"/>
        </w:rPr>
        <w:t xml:space="preserve"> finanziate</w:t>
      </w:r>
      <w:r w:rsidR="00802F29" w:rsidRPr="008C167C">
        <w:rPr>
          <w:rFonts w:ascii="Verdana" w:hAnsi="Verdana" w:cstheme="minorHAnsi"/>
        </w:rPr>
        <w:t>, come indic</w:t>
      </w:r>
      <w:r w:rsidR="008C167C" w:rsidRPr="008C167C">
        <w:rPr>
          <w:rFonts w:ascii="Verdana" w:hAnsi="Verdana" w:cstheme="minorHAnsi"/>
        </w:rPr>
        <w:t>ato alla Scheda n. 9 della</w:t>
      </w:r>
      <w:r w:rsidR="00CF2F36">
        <w:rPr>
          <w:rFonts w:ascii="Verdana" w:hAnsi="Verdana" w:cstheme="minorHAnsi"/>
        </w:rPr>
        <w:t xml:space="preserve"> </w:t>
      </w:r>
      <w:r w:rsidR="008C167C" w:rsidRPr="008C167C">
        <w:rPr>
          <w:rFonts w:ascii="Verdana" w:hAnsi="Verdana" w:cstheme="minorHAnsi"/>
        </w:rPr>
        <w:t>circolare MEF 32/2021.</w:t>
      </w:r>
    </w:p>
    <w:p w14:paraId="0034B824" w14:textId="77777777" w:rsidR="0088717C" w:rsidRPr="00810D9A" w:rsidRDefault="0088717C" w:rsidP="00810D9A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2C793759" w14:textId="22D842E8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2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Adattamento ai cambiamenti climatici</w:t>
      </w:r>
    </w:p>
    <w:p w14:paraId="659C70CC" w14:textId="77777777" w:rsidR="0080229B" w:rsidRPr="00FF4022" w:rsidRDefault="0080229B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38931C4A" w14:textId="7DB2CCB3" w:rsidR="00685FF0" w:rsidRDefault="00685FF0" w:rsidP="004F01D2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>Il progetto è conforme al principio DNSH se, ove effettivamente pertinente, è stata effettuata una valutazione dei rischi per il clima che, all’occorrenza, sfoci nell'individuazione, nel vaglio e nell'attuazione delle misure di adattamento del caso.</w:t>
      </w:r>
    </w:p>
    <w:p w14:paraId="4DD82440" w14:textId="77777777" w:rsidR="007A1CEF" w:rsidRDefault="007A1CEF" w:rsidP="002E42FB">
      <w:pPr>
        <w:spacing w:line="276" w:lineRule="auto"/>
        <w:jc w:val="both"/>
        <w:rPr>
          <w:rFonts w:ascii="Verdana" w:hAnsi="Verdana" w:cstheme="minorHAnsi"/>
        </w:rPr>
      </w:pPr>
    </w:p>
    <w:p w14:paraId="414D2AB9" w14:textId="4F074587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Uso sostenibile e protezione delle acque e delle risorse marine</w:t>
      </w:r>
    </w:p>
    <w:p w14:paraId="7F32EEBD" w14:textId="77777777" w:rsidR="0080229B" w:rsidRPr="00FF4022" w:rsidRDefault="0080229B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5881E48E" w14:textId="452C741B" w:rsidR="00541F5A" w:rsidRPr="00541F5A" w:rsidRDefault="00000EC7" w:rsidP="00B57BA4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Per quanto attiene al principio di protezione delle acque e delle risorse marine</w:t>
      </w:r>
      <w:r w:rsidR="007A1CEF">
        <w:rPr>
          <w:rFonts w:ascii="Verdana" w:hAnsi="Verdana" w:cstheme="minorHAnsi"/>
        </w:rPr>
        <w:t xml:space="preserve">, </w:t>
      </w:r>
      <w:r>
        <w:rPr>
          <w:rFonts w:ascii="Verdana" w:hAnsi="Verdana" w:cstheme="minorHAnsi"/>
        </w:rPr>
        <w:t xml:space="preserve">la relazione dovrà indicare come </w:t>
      </w:r>
      <w:r w:rsidR="00541F5A" w:rsidRPr="00541F5A">
        <w:rPr>
          <w:rFonts w:ascii="Verdana" w:hAnsi="Verdana" w:cstheme="minorHAnsi"/>
        </w:rPr>
        <w:t>gli interventi</w:t>
      </w:r>
      <w:r>
        <w:rPr>
          <w:rFonts w:ascii="Verdana" w:hAnsi="Verdana" w:cstheme="minorHAnsi"/>
        </w:rPr>
        <w:t xml:space="preserve"> programmati potranno garantire </w:t>
      </w:r>
      <w:r w:rsidR="00541F5A" w:rsidRPr="00541F5A">
        <w:rPr>
          <w:rFonts w:ascii="Verdana" w:hAnsi="Verdana" w:cstheme="minorHAnsi"/>
        </w:rPr>
        <w:t>il risparmio idrico</w:t>
      </w:r>
      <w:r>
        <w:rPr>
          <w:rFonts w:ascii="Verdana" w:hAnsi="Verdana" w:cstheme="minorHAnsi"/>
        </w:rPr>
        <w:t xml:space="preserve">, anche attraverso l’utilizzo di dispositivi (si veda scheda 2 </w:t>
      </w:r>
      <w:r w:rsidRPr="00000EC7">
        <w:rPr>
          <w:rFonts w:ascii="Verdana" w:hAnsi="Verdana" w:cstheme="minorHAnsi"/>
          <w:i/>
        </w:rPr>
        <w:t>Ristrutturazioni e riqualificazioni di edifici residenziali e non</w:t>
      </w:r>
      <w:r>
        <w:rPr>
          <w:rFonts w:ascii="Verdana" w:hAnsi="Verdana" w:cstheme="minorHAnsi"/>
          <w:i/>
        </w:rPr>
        <w:t>)</w:t>
      </w:r>
      <w:r w:rsidR="00B57BA4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 xml:space="preserve">conformi agli </w:t>
      </w:r>
      <w:r w:rsidR="00B57BA4">
        <w:rPr>
          <w:rFonts w:ascii="Verdana" w:hAnsi="Verdana" w:cstheme="minorHAnsi"/>
        </w:rPr>
        <w:t xml:space="preserve">standard internazionali. </w:t>
      </w:r>
    </w:p>
    <w:p w14:paraId="5D1CAD0D" w14:textId="77777777" w:rsidR="00541F5A" w:rsidRPr="005207EB" w:rsidRDefault="00541F5A" w:rsidP="00541F5A">
      <w:pPr>
        <w:autoSpaceDE w:val="0"/>
        <w:autoSpaceDN w:val="0"/>
        <w:adjustRightInd w:val="0"/>
        <w:rPr>
          <w:rFonts w:ascii="Verdana" w:hAnsi="Verdana" w:cstheme="minorHAnsi"/>
        </w:rPr>
      </w:pPr>
    </w:p>
    <w:p w14:paraId="486CC96F" w14:textId="665A22EC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4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Economia circolare</w:t>
      </w:r>
    </w:p>
    <w:p w14:paraId="300B86FA" w14:textId="77777777" w:rsidR="000D75A3" w:rsidRPr="00810D9A" w:rsidRDefault="000D75A3" w:rsidP="004B16C8">
      <w:pPr>
        <w:spacing w:line="276" w:lineRule="auto"/>
        <w:jc w:val="both"/>
        <w:rPr>
          <w:rFonts w:ascii="Verdana" w:hAnsi="Verdana" w:cstheme="minorHAnsi"/>
        </w:rPr>
      </w:pPr>
    </w:p>
    <w:p w14:paraId="1CEFA81B" w14:textId="4ADBB129" w:rsidR="00B57BA4" w:rsidRPr="00FF4022" w:rsidRDefault="00B57BA4" w:rsidP="00B57BA4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Per quanto</w:t>
      </w:r>
      <w:r w:rsidR="00000EC7">
        <w:rPr>
          <w:rFonts w:ascii="Verdana" w:hAnsi="Verdana" w:cstheme="minorHAnsi"/>
        </w:rPr>
        <w:t xml:space="preserve"> attiene al contributo sostanziale all’economia circolare</w:t>
      </w:r>
      <w:r>
        <w:rPr>
          <w:rFonts w:ascii="Verdana" w:eastAsia="timesnewromanpsmt" w:hAnsi="Verdana" w:cstheme="minorHAnsi"/>
        </w:rPr>
        <w:t>, la relazione dovrà spiegare come il progetto proposto</w:t>
      </w:r>
      <w:r w:rsidRPr="00FF4022">
        <w:rPr>
          <w:rFonts w:ascii="Verdana" w:hAnsi="Verdana" w:cstheme="minorHAnsi"/>
        </w:rPr>
        <w:t>:</w:t>
      </w:r>
    </w:p>
    <w:p w14:paraId="3110CE54" w14:textId="4F63DDC5" w:rsidR="00B57BA4" w:rsidRPr="00FF4022" w:rsidRDefault="00781C8D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hAnsi="Verdana" w:cstheme="minorHAnsi"/>
        </w:rPr>
      </w:pPr>
      <w:r>
        <w:rPr>
          <w:rFonts w:ascii="Verdana" w:hAnsi="Verdana" w:cstheme="minorHAnsi"/>
        </w:rPr>
        <w:t>sia</w:t>
      </w:r>
      <w:r w:rsidR="00B57BA4" w:rsidRPr="00FF4022">
        <w:rPr>
          <w:rFonts w:ascii="Verdana" w:hAnsi="Verdana" w:cstheme="minorHAnsi"/>
        </w:rPr>
        <w:t xml:space="preserve"> efficiente in relazione alle risorse principali usate;</w:t>
      </w:r>
    </w:p>
    <w:p w14:paraId="6CC84108" w14:textId="38DE506A" w:rsidR="00B57BA4" w:rsidRPr="00FF4022" w:rsidRDefault="00B57BA4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non </w:t>
      </w:r>
      <w:r w:rsidR="00781C8D">
        <w:rPr>
          <w:rFonts w:ascii="Verdana" w:hAnsi="Verdana" w:cstheme="minorHAnsi"/>
        </w:rPr>
        <w:t>abbia</w:t>
      </w:r>
      <w:r>
        <w:rPr>
          <w:rFonts w:ascii="Verdana" w:hAnsi="Verdana" w:cstheme="minorHAnsi"/>
        </w:rPr>
        <w:t xml:space="preserve"> effetti negativi, o </w:t>
      </w:r>
      <w:r w:rsidR="00781C8D">
        <w:rPr>
          <w:rFonts w:ascii="Verdana" w:hAnsi="Verdana" w:cstheme="minorHAnsi"/>
        </w:rPr>
        <w:t>abbia</w:t>
      </w:r>
      <w:r w:rsidRPr="00FF4022">
        <w:rPr>
          <w:rFonts w:ascii="Verdana" w:hAnsi="Verdana" w:cstheme="minorHAnsi"/>
        </w:rPr>
        <w:t xml:space="preserve"> effetti positivi su produzione, incenerimento o smaltimento dei rifiuti;</w:t>
      </w:r>
    </w:p>
    <w:p w14:paraId="15D1B3E5" w14:textId="005ABBAC" w:rsidR="00C14737" w:rsidRPr="00B57BA4" w:rsidRDefault="00B57BA4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eastAsia="timesnewromanpsmt" w:hAnsi="Verdana" w:cstheme="minorHAnsi"/>
        </w:rPr>
      </w:pPr>
      <w:r w:rsidRPr="00B57BA4">
        <w:rPr>
          <w:rFonts w:ascii="Verdana" w:hAnsi="Verdana" w:cstheme="minorHAnsi"/>
        </w:rPr>
        <w:t>conduc</w:t>
      </w:r>
      <w:r w:rsidR="00781C8D">
        <w:rPr>
          <w:rFonts w:ascii="Verdana" w:hAnsi="Verdana" w:cstheme="minorHAnsi"/>
        </w:rPr>
        <w:t>a</w:t>
      </w:r>
      <w:r w:rsidRPr="00B57BA4">
        <w:rPr>
          <w:rFonts w:ascii="Verdana" w:hAnsi="Verdana" w:cstheme="minorHAnsi"/>
        </w:rPr>
        <w:t xml:space="preserve"> a un efficientamento dei processi in termini di minimizzazione e/o valorizzazione dei materiali di scarto, o in termini di efficientamento energetico.</w:t>
      </w:r>
    </w:p>
    <w:p w14:paraId="2AB97ABE" w14:textId="77777777" w:rsidR="00724F5C" w:rsidRDefault="00724F5C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69284C1B" w14:textId="062E3AEB" w:rsidR="00000EC7" w:rsidRDefault="00000EC7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3696F607" w14:textId="77777777" w:rsidR="00DB6097" w:rsidRPr="00FF4022" w:rsidRDefault="00DB6097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19361E60" w14:textId="71C0A738" w:rsidR="00C14737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lastRenderedPageBreak/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5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Prevenzione e riduzione dell'inquinamento</w:t>
      </w:r>
    </w:p>
    <w:p w14:paraId="09AB12AC" w14:textId="77777777" w:rsidR="00B57BA4" w:rsidRDefault="00B57BA4" w:rsidP="007F4569">
      <w:pPr>
        <w:autoSpaceDE w:val="0"/>
        <w:autoSpaceDN w:val="0"/>
        <w:adjustRightInd w:val="0"/>
        <w:rPr>
          <w:rFonts w:ascii="Verdana" w:hAnsi="Verdana"/>
        </w:rPr>
      </w:pPr>
    </w:p>
    <w:p w14:paraId="02F81725" w14:textId="77777777" w:rsidR="00B57BA4" w:rsidRDefault="00B57BA4" w:rsidP="007F4569">
      <w:pPr>
        <w:autoSpaceDE w:val="0"/>
        <w:autoSpaceDN w:val="0"/>
        <w:adjustRightInd w:val="0"/>
        <w:rPr>
          <w:rFonts w:ascii="Verdana" w:hAnsi="Verdana"/>
        </w:rPr>
      </w:pPr>
    </w:p>
    <w:p w14:paraId="029CA4F0" w14:textId="2D6DCD9A" w:rsidR="00B57BA4" w:rsidRDefault="00B57BA4" w:rsidP="00491335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Per quanto attiene alla ristrutturazione o riqualificazion</w:t>
      </w:r>
      <w:r w:rsidR="001932A2">
        <w:rPr>
          <w:rFonts w:ascii="Verdana" w:hAnsi="Verdana" w:cstheme="minorHAnsi"/>
        </w:rPr>
        <w:t>e</w:t>
      </w:r>
      <w:r w:rsidR="00D1457D">
        <w:rPr>
          <w:rFonts w:ascii="Verdana" w:hAnsi="Verdana" w:cstheme="minorHAnsi"/>
        </w:rPr>
        <w:t xml:space="preserve"> </w:t>
      </w:r>
      <w:r w:rsidR="00C71576">
        <w:rPr>
          <w:rFonts w:ascii="Verdana" w:hAnsi="Verdana" w:cstheme="minorHAnsi"/>
        </w:rPr>
        <w:t>d</w:t>
      </w:r>
      <w:r w:rsidR="00D1457D">
        <w:rPr>
          <w:rFonts w:ascii="Verdana" w:hAnsi="Verdana" w:cstheme="minorHAnsi"/>
        </w:rPr>
        <w:t>i edifici</w:t>
      </w:r>
      <w:r>
        <w:rPr>
          <w:rFonts w:ascii="Verdana" w:hAnsi="Verdana" w:cstheme="minorHAnsi"/>
        </w:rPr>
        <w:t>, la relazione dovrà dimostrare la conformità</w:t>
      </w:r>
      <w:r w:rsidRPr="00FF4022">
        <w:rPr>
          <w:rFonts w:ascii="Verdana" w:hAnsi="Verdana" w:cstheme="minorHAnsi"/>
        </w:rPr>
        <w:t xml:space="preserve"> al principio DNSH</w:t>
      </w:r>
      <w:r w:rsidR="007D4279">
        <w:rPr>
          <w:rFonts w:ascii="Verdana" w:hAnsi="Verdana" w:cstheme="minorHAnsi"/>
        </w:rPr>
        <w:t>, spiegando come il progetto</w:t>
      </w:r>
      <w:r>
        <w:rPr>
          <w:rFonts w:ascii="Verdana" w:hAnsi="Verdana" w:cstheme="minorHAnsi"/>
        </w:rPr>
        <w:t xml:space="preserve"> comporti</w:t>
      </w:r>
      <w:r w:rsidRPr="00FF4022">
        <w:rPr>
          <w:rFonts w:ascii="Verdana" w:hAnsi="Verdana" w:cstheme="minorHAnsi"/>
        </w:rPr>
        <w:t xml:space="preserve"> una riduzione o </w:t>
      </w:r>
      <w:r>
        <w:rPr>
          <w:rFonts w:ascii="Verdana" w:hAnsi="Verdana" w:cstheme="minorHAnsi"/>
        </w:rPr>
        <w:t xml:space="preserve">un </w:t>
      </w:r>
      <w:r w:rsidRPr="00FF4022">
        <w:rPr>
          <w:rFonts w:ascii="Verdana" w:hAnsi="Verdana" w:cstheme="minorHAnsi"/>
        </w:rPr>
        <w:t>contenimento delle emissioni di sostanze inquinanti nell'aria, nell'acqua o nel suolo</w:t>
      </w:r>
      <w:r w:rsidR="001932A2">
        <w:rPr>
          <w:rFonts w:ascii="Verdana" w:hAnsi="Verdana" w:cstheme="minorHAnsi"/>
        </w:rPr>
        <w:t>,</w:t>
      </w:r>
      <w:r w:rsidRPr="00FF4022">
        <w:rPr>
          <w:rFonts w:ascii="Verdana" w:hAnsi="Verdana" w:cstheme="minorHAnsi"/>
        </w:rPr>
        <w:t xml:space="preserve"> in</w:t>
      </w:r>
      <w:r w:rsidR="00000EC7">
        <w:rPr>
          <w:rFonts w:ascii="Verdana" w:hAnsi="Verdana" w:cstheme="minorHAnsi"/>
        </w:rPr>
        <w:t xml:space="preserve"> </w:t>
      </w:r>
      <w:r w:rsidRPr="00FF4022">
        <w:rPr>
          <w:rFonts w:ascii="Verdana" w:hAnsi="Verdana" w:cstheme="minorHAnsi"/>
        </w:rPr>
        <w:t xml:space="preserve">conformità </w:t>
      </w:r>
      <w:r w:rsidR="001932A2">
        <w:rPr>
          <w:rFonts w:ascii="Verdana" w:hAnsi="Verdana" w:cstheme="minorHAnsi"/>
        </w:rPr>
        <w:t>a</w:t>
      </w:r>
      <w:r w:rsidR="001932A2" w:rsidRPr="00FF4022">
        <w:rPr>
          <w:rFonts w:ascii="Verdana" w:hAnsi="Verdana" w:cstheme="minorHAnsi"/>
        </w:rPr>
        <w:t xml:space="preserve"> </w:t>
      </w:r>
      <w:r w:rsidRPr="00FF4022">
        <w:rPr>
          <w:rFonts w:ascii="Verdana" w:hAnsi="Verdana" w:cstheme="minorHAnsi"/>
        </w:rPr>
        <w:t>quanto previsto dalla direttiva 2010/75/UE (diretti</w:t>
      </w:r>
      <w:r w:rsidR="0019516B">
        <w:rPr>
          <w:rFonts w:ascii="Verdana" w:hAnsi="Verdana" w:cstheme="minorHAnsi"/>
        </w:rPr>
        <w:t>va sulle emissioni industriali)</w:t>
      </w:r>
      <w:r w:rsidR="001932A2">
        <w:rPr>
          <w:rFonts w:ascii="Verdana" w:hAnsi="Verdana" w:cstheme="minorHAnsi"/>
        </w:rPr>
        <w:t>.</w:t>
      </w:r>
    </w:p>
    <w:p w14:paraId="14F81C7D" w14:textId="3A754AAF" w:rsidR="007D4279" w:rsidRDefault="007D4279" w:rsidP="00491335">
      <w:pPr>
        <w:autoSpaceDE w:val="0"/>
        <w:autoSpaceDN w:val="0"/>
        <w:adjustRightInd w:val="0"/>
        <w:rPr>
          <w:rFonts w:ascii="Verdana" w:hAnsi="Verdana"/>
        </w:rPr>
      </w:pPr>
    </w:p>
    <w:p w14:paraId="41797239" w14:textId="06E61B27" w:rsidR="0019516B" w:rsidRDefault="007D4279" w:rsidP="00000EC7">
      <w:p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In particolare, dovranno essere descritte le misure atte a garantire</w:t>
      </w:r>
      <w:r w:rsidR="0019516B">
        <w:rPr>
          <w:rFonts w:ascii="Verdana" w:hAnsi="Verdana"/>
        </w:rPr>
        <w:t>, in fase di progettazione ed esecuzione dei lavori, la conformità:</w:t>
      </w:r>
    </w:p>
    <w:p w14:paraId="28E7F10C" w14:textId="78C92676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19516B">
        <w:rPr>
          <w:rFonts w:ascii="Verdana" w:hAnsi="Verdana"/>
        </w:rPr>
        <w:t xml:space="preserve">alla legislazione nazionale in ordine al ritrovamento di amianto e nell'identificazione di altri materiali contenenti sostanze contaminanti. </w:t>
      </w:r>
    </w:p>
    <w:p w14:paraId="3E71A076" w14:textId="00BBFFDB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19516B">
        <w:rPr>
          <w:rFonts w:ascii="Verdana" w:hAnsi="Verdana"/>
        </w:rPr>
        <w:t>l regolamento REACH, per i materiali in ingresso (non potranno essere utilizzati componenti, prodotti e materiali contenenti sostanze inquinanti di cui al “</w:t>
      </w:r>
      <w:proofErr w:type="spellStart"/>
      <w:r w:rsidRPr="0019516B">
        <w:rPr>
          <w:rFonts w:ascii="Verdana" w:hAnsi="Verdana"/>
        </w:rPr>
        <w:t>Authorization</w:t>
      </w:r>
      <w:proofErr w:type="spellEnd"/>
      <w:r w:rsidRPr="0019516B">
        <w:rPr>
          <w:rFonts w:ascii="Verdana" w:hAnsi="Verdana"/>
        </w:rPr>
        <w:t xml:space="preserve"> List” presente nel</w:t>
      </w:r>
      <w:r>
        <w:rPr>
          <w:rFonts w:ascii="Verdana" w:hAnsi="Verdana"/>
        </w:rPr>
        <w:t xml:space="preserve"> suddetto</w:t>
      </w:r>
      <w:r w:rsidRPr="0019516B">
        <w:rPr>
          <w:rFonts w:ascii="Verdana" w:hAnsi="Verdana"/>
        </w:rPr>
        <w:t xml:space="preserve"> regolamento). </w:t>
      </w:r>
    </w:p>
    <w:p w14:paraId="40BEDF03" w14:textId="1B58CE88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19516B">
        <w:rPr>
          <w:rFonts w:ascii="Verdana" w:hAnsi="Verdana"/>
        </w:rPr>
        <w:t>lle normative regionali e nazionali</w:t>
      </w:r>
      <w:r>
        <w:rPr>
          <w:rFonts w:ascii="Verdana" w:hAnsi="Verdana"/>
        </w:rPr>
        <w:t xml:space="preserve"> in tema di</w:t>
      </w:r>
      <w:r w:rsidRPr="0019516B">
        <w:rPr>
          <w:rFonts w:ascii="Verdana" w:hAnsi="Verdana"/>
        </w:rPr>
        <w:t xml:space="preserve"> gestione ambientale del cantiere </w:t>
      </w:r>
    </w:p>
    <w:p w14:paraId="5B39C651" w14:textId="34A2D2B3" w:rsidR="00450060" w:rsidRPr="00810D9A" w:rsidRDefault="00450060" w:rsidP="001932A2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</w:p>
    <w:p w14:paraId="40040328" w14:textId="77777777" w:rsidR="0019516B" w:rsidRDefault="0019516B" w:rsidP="00685FF0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</w:p>
    <w:p w14:paraId="2E015B09" w14:textId="33DE58C7" w:rsidR="001932A2" w:rsidRPr="00AA59C3" w:rsidRDefault="00AA59C3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 w:cstheme="minorHAnsi"/>
          <w:color w:val="000000" w:themeColor="text1"/>
        </w:rPr>
        <w:t>Ne</w:t>
      </w:r>
      <w:r>
        <w:rPr>
          <w:rFonts w:ascii="Verdana" w:hAnsi="Verdana" w:cstheme="minorHAnsi"/>
          <w:color w:val="000000" w:themeColor="text1"/>
        </w:rPr>
        <w:t>l</w:t>
      </w:r>
      <w:r w:rsidRPr="00AA59C3">
        <w:rPr>
          <w:rFonts w:ascii="Verdana" w:hAnsi="Verdana" w:cstheme="minorHAnsi"/>
          <w:color w:val="000000" w:themeColor="text1"/>
        </w:rPr>
        <w:t xml:space="preserve"> caso di a</w:t>
      </w:r>
      <w:r w:rsidR="002E42FB" w:rsidRPr="00AA59C3">
        <w:rPr>
          <w:rFonts w:ascii="Verdana" w:hAnsi="Verdana" w:cstheme="minorHAnsi"/>
          <w:color w:val="000000" w:themeColor="text1"/>
        </w:rPr>
        <w:t>cquisto,</w:t>
      </w:r>
      <w:r w:rsidR="00491335">
        <w:rPr>
          <w:rFonts w:ascii="Verdana" w:hAnsi="Verdana" w:cstheme="minorHAnsi"/>
          <w:color w:val="000000" w:themeColor="text1"/>
        </w:rPr>
        <w:t xml:space="preserve"> </w:t>
      </w:r>
      <w:r w:rsidR="002E42FB" w:rsidRPr="00AA59C3">
        <w:rPr>
          <w:rFonts w:ascii="Verdana" w:hAnsi="Verdana" w:cstheme="minorHAnsi"/>
          <w:color w:val="000000" w:themeColor="text1"/>
        </w:rPr>
        <w:t>di veicoli</w:t>
      </w:r>
      <w:r w:rsidRPr="00AA59C3">
        <w:rPr>
          <w:rFonts w:ascii="Verdana" w:hAnsi="Verdana" w:cstheme="minorHAnsi"/>
          <w:color w:val="000000" w:themeColor="text1"/>
        </w:rPr>
        <w:t xml:space="preserve"> questi dovranno essere</w:t>
      </w:r>
      <w:r w:rsidR="00A17182" w:rsidRPr="00AA59C3">
        <w:rPr>
          <w:rFonts w:ascii="Verdana" w:hAnsi="Verdana"/>
          <w:color w:val="000000" w:themeColor="text1"/>
        </w:rPr>
        <w:t xml:space="preserve"> conformi ai requisiti della più recente fase applicabile dell'omologazione Euro 6 per le emissioni dei veicoli leggeri</w:t>
      </w:r>
      <w:r w:rsidR="00A17182" w:rsidRPr="00AA59C3">
        <w:rPr>
          <w:rStyle w:val="Rimandonotaapidipagina"/>
          <w:rFonts w:ascii="Verdana" w:hAnsi="Verdana"/>
          <w:color w:val="000000" w:themeColor="text1"/>
        </w:rPr>
        <w:footnoteReference w:id="3"/>
      </w:r>
      <w:r w:rsidR="001932A2" w:rsidRPr="00AA59C3">
        <w:rPr>
          <w:rFonts w:ascii="Verdana" w:hAnsi="Verdana"/>
          <w:color w:val="000000" w:themeColor="text1"/>
        </w:rPr>
        <w:t>,</w:t>
      </w:r>
      <w:r w:rsidR="00A17182" w:rsidRPr="00AA59C3">
        <w:rPr>
          <w:rFonts w:ascii="Verdana" w:hAnsi="Verdana"/>
          <w:color w:val="000000" w:themeColor="text1"/>
        </w:rPr>
        <w:t xml:space="preserve"> </w:t>
      </w:r>
    </w:p>
    <w:p w14:paraId="21B0C417" w14:textId="3A3B6290" w:rsidR="00A17182" w:rsidRPr="00AA59C3" w:rsidRDefault="00A17182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/>
          <w:color w:val="000000" w:themeColor="text1"/>
        </w:rPr>
        <w:t xml:space="preserve">in conformità </w:t>
      </w:r>
      <w:r w:rsidR="001932A2" w:rsidRPr="00AA59C3">
        <w:rPr>
          <w:rFonts w:ascii="Verdana" w:hAnsi="Verdana"/>
          <w:color w:val="000000" w:themeColor="text1"/>
        </w:rPr>
        <w:t xml:space="preserve">al </w:t>
      </w:r>
      <w:r w:rsidRPr="00AA59C3">
        <w:rPr>
          <w:rFonts w:ascii="Verdana" w:hAnsi="Verdana"/>
          <w:color w:val="000000" w:themeColor="text1"/>
        </w:rPr>
        <w:t>regolamento (CE) n. 715/2007. I veicoli rispettano le soglie di emissione per i veicoli leggeri puliti di cui alla tabella 2 dell'allegato della direttiva 2009/33/CE del Parlamento europeo e del Consiglio</w:t>
      </w:r>
      <w:r w:rsidR="007B6CFC" w:rsidRPr="00AA59C3">
        <w:rPr>
          <w:rStyle w:val="Rimandonotaapidipagina"/>
          <w:rFonts w:ascii="Verdana" w:hAnsi="Verdana"/>
          <w:color w:val="000000" w:themeColor="text1"/>
        </w:rPr>
        <w:footnoteReference w:id="4"/>
      </w:r>
      <w:r w:rsidRPr="00AA59C3">
        <w:rPr>
          <w:rFonts w:ascii="Verdana" w:hAnsi="Verdana"/>
          <w:color w:val="000000" w:themeColor="text1"/>
        </w:rPr>
        <w:t>.</w:t>
      </w:r>
    </w:p>
    <w:p w14:paraId="64664A90" w14:textId="007FD5CE" w:rsidR="00450060" w:rsidRPr="00AA59C3" w:rsidRDefault="00A17182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/>
          <w:color w:val="000000" w:themeColor="text1"/>
        </w:rPr>
        <w:t xml:space="preserve">I veicoli sono conformi ai requisiti della più recente fase applicabile dell'omologazione </w:t>
      </w:r>
      <w:r w:rsidR="001932A2" w:rsidRPr="00AA59C3">
        <w:rPr>
          <w:rFonts w:ascii="Verdana" w:hAnsi="Verdana"/>
          <w:color w:val="000000" w:themeColor="text1"/>
        </w:rPr>
        <w:t xml:space="preserve">in relazione alle </w:t>
      </w:r>
      <w:r w:rsidRPr="00AA59C3">
        <w:rPr>
          <w:rFonts w:ascii="Verdana" w:hAnsi="Verdana"/>
          <w:color w:val="000000" w:themeColor="text1"/>
        </w:rPr>
        <w:t>emissioni dei veicoli pesanti Euro VI</w:t>
      </w:r>
      <w:r w:rsidR="001932A2" w:rsidRPr="00AA59C3">
        <w:rPr>
          <w:rFonts w:ascii="Verdana" w:hAnsi="Verdana"/>
          <w:color w:val="000000" w:themeColor="text1"/>
        </w:rPr>
        <w:t>,</w:t>
      </w:r>
      <w:r w:rsidRPr="00AA59C3">
        <w:rPr>
          <w:rFonts w:ascii="Verdana" w:hAnsi="Verdana"/>
          <w:color w:val="000000" w:themeColor="text1"/>
        </w:rPr>
        <w:t xml:space="preserve"> ai sensi del regolamento (CE) n. 595/2009.</w:t>
      </w:r>
    </w:p>
    <w:p w14:paraId="3E584D9B" w14:textId="060CF466" w:rsidR="00BF79BA" w:rsidRPr="00AA59C3" w:rsidRDefault="00BF79BA" w:rsidP="001932A2">
      <w:pPr>
        <w:spacing w:line="276" w:lineRule="auto"/>
        <w:jc w:val="both"/>
        <w:rPr>
          <w:rFonts w:ascii="Verdana" w:hAnsi="Verdana" w:cstheme="minorHAnsi"/>
          <w:b/>
          <w:bCs/>
          <w:color w:val="000000" w:themeColor="text1"/>
          <w:sz w:val="22"/>
          <w:szCs w:val="22"/>
        </w:rPr>
      </w:pPr>
    </w:p>
    <w:p w14:paraId="53412A9F" w14:textId="77777777" w:rsidR="007B6CFC" w:rsidRPr="00FF4022" w:rsidRDefault="007B6CFC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5D6F9F3D" w14:textId="1B72B33A" w:rsidR="002930AB" w:rsidRDefault="00BE72AA" w:rsidP="003F60AB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6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Protezione e ripristino della biodiversità e degli ecosistemi</w:t>
      </w:r>
    </w:p>
    <w:p w14:paraId="74361BCD" w14:textId="77777777" w:rsidR="00CC517F" w:rsidRDefault="00CC517F" w:rsidP="00A305F1">
      <w:pPr>
        <w:spacing w:line="276" w:lineRule="auto"/>
        <w:jc w:val="both"/>
        <w:rPr>
          <w:rFonts w:ascii="Verdana" w:hAnsi="Verdana"/>
        </w:rPr>
      </w:pPr>
    </w:p>
    <w:p w14:paraId="5AD56C53" w14:textId="403C1B0B" w:rsidR="00CC517F" w:rsidRDefault="00CC517F" w:rsidP="00A305F1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Il progetto dovrà dimostrare la conformità</w:t>
      </w:r>
      <w:r>
        <w:rPr>
          <w:rFonts w:ascii="Verdana" w:hAnsi="Verdana" w:cstheme="minorHAnsi"/>
        </w:rPr>
        <w:t xml:space="preserve"> al princ</w:t>
      </w:r>
      <w:r w:rsidR="00000EC7">
        <w:rPr>
          <w:rFonts w:ascii="Verdana" w:hAnsi="Verdana" w:cstheme="minorHAnsi"/>
        </w:rPr>
        <w:t>ipio DNSH spiegando come gli interventi programmati non impatteranno su aree protette e saranno conformi alle</w:t>
      </w:r>
      <w:r w:rsidRPr="00FF4022">
        <w:rPr>
          <w:rFonts w:ascii="Verdana" w:hAnsi="Verdana" w:cstheme="minorHAnsi"/>
        </w:rPr>
        <w:t xml:space="preserve"> prescrizioni previste dalle direttive Habitat e Uccelli.</w:t>
      </w:r>
    </w:p>
    <w:p w14:paraId="3256C0DE" w14:textId="4B653EFD" w:rsidR="00000EC7" w:rsidRDefault="00000EC7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2A9C3605" w14:textId="77777777" w:rsidR="001932A2" w:rsidRDefault="001932A2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2419404E" w14:textId="2823163C" w:rsidR="00000EC7" w:rsidRPr="00000EC7" w:rsidRDefault="00000EC7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000EC7">
        <w:rPr>
          <w:rFonts w:ascii="Verdana" w:hAnsi="Verdana" w:cstheme="minorHAnsi"/>
          <w:b/>
          <w:bCs/>
          <w:sz w:val="22"/>
          <w:szCs w:val="22"/>
        </w:rPr>
        <w:t>4. Ulteriori specificazioni</w:t>
      </w:r>
    </w:p>
    <w:p w14:paraId="6C30D332" w14:textId="77777777" w:rsidR="00000EC7" w:rsidRDefault="00000EC7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42D40D50" w14:textId="77C4BD22" w:rsidR="00A305F1" w:rsidRPr="00685FF0" w:rsidRDefault="00000EC7" w:rsidP="004B16C8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>Si riporta di seguito la tabella di sintesi degli elementi di verifica per obiettivo ambientale.</w:t>
      </w:r>
    </w:p>
    <w:p w14:paraId="229C10D4" w14:textId="77777777" w:rsidR="00000EC7" w:rsidRPr="00FF4022" w:rsidRDefault="00000EC7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334E805A" w14:textId="5E0742FC" w:rsidR="00EA420D" w:rsidRPr="00FF4022" w:rsidRDefault="00D32D15" w:rsidP="00EA420D">
      <w:pPr>
        <w:rPr>
          <w:rFonts w:ascii="Verdana" w:hAnsi="Verdana" w:cstheme="minorHAnsi"/>
          <w:sz w:val="22"/>
          <w:u w:val="single"/>
        </w:rPr>
      </w:pPr>
      <w:r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T</w:t>
      </w:r>
      <w:r w:rsidR="00EA420D"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abella 1 - Elementi oggetto di verifica per obiettivo ambientale</w:t>
      </w:r>
    </w:p>
    <w:p w14:paraId="659EC84C" w14:textId="77777777" w:rsidR="00EA420D" w:rsidRPr="00FF4022" w:rsidRDefault="00EA420D" w:rsidP="00EA420D">
      <w:pPr>
        <w:rPr>
          <w:rFonts w:ascii="Verdana" w:hAnsi="Verdana" w:cstheme="minorHAns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76"/>
        <w:gridCol w:w="1783"/>
        <w:gridCol w:w="6430"/>
      </w:tblGrid>
      <w:tr w:rsidR="006E68EC" w:rsidRPr="00FF4022" w14:paraId="0192BB71" w14:textId="77777777" w:rsidTr="004F01D2">
        <w:tc>
          <w:tcPr>
            <w:tcW w:w="1629" w:type="dxa"/>
            <w:shd w:val="clear" w:color="auto" w:fill="auto"/>
            <w:vAlign w:val="center"/>
          </w:tcPr>
          <w:p w14:paraId="1776F004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Obiettivo ambientale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8E28C37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Elementi oggetto di verifica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629EDC0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Note</w:t>
            </w:r>
          </w:p>
        </w:tc>
      </w:tr>
      <w:tr w:rsidR="006E68EC" w:rsidRPr="00FF4022" w14:paraId="755F4706" w14:textId="77777777" w:rsidTr="004F01D2">
        <w:tc>
          <w:tcPr>
            <w:tcW w:w="1629" w:type="dxa"/>
            <w:shd w:val="clear" w:color="auto" w:fill="auto"/>
            <w:vAlign w:val="center"/>
          </w:tcPr>
          <w:p w14:paraId="752D859C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Mitigazione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E6BAE47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Gas serra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409C1DF" w14:textId="77777777" w:rsidR="00EA420D" w:rsidRPr="00FF4022" w:rsidRDefault="00EA420D" w:rsidP="004F01D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provoca un incremento significativo delle emissioni di CO</w:t>
            </w:r>
            <w:r w:rsidRPr="00FF4022">
              <w:rPr>
                <w:rFonts w:ascii="Verdana" w:hAnsi="Verdana" w:cstheme="minorHAnsi"/>
                <w:vertAlign w:val="subscript"/>
              </w:rPr>
              <w:t xml:space="preserve">2, </w:t>
            </w:r>
            <w:r w:rsidRPr="00FF4022">
              <w:rPr>
                <w:rFonts w:ascii="Verdana" w:hAnsi="Verdana" w:cstheme="minorHAnsi"/>
              </w:rPr>
              <w:t>o se concorre a una loro riduzione.</w:t>
            </w:r>
          </w:p>
        </w:tc>
      </w:tr>
      <w:tr w:rsidR="006E68EC" w:rsidRPr="00FF4022" w14:paraId="26E4B9BA" w14:textId="77777777" w:rsidTr="004F01D2">
        <w:tc>
          <w:tcPr>
            <w:tcW w:w="1629" w:type="dxa"/>
            <w:shd w:val="clear" w:color="auto" w:fill="auto"/>
            <w:vAlign w:val="center"/>
          </w:tcPr>
          <w:p w14:paraId="6334A82A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lastRenderedPageBreak/>
              <w:t>Adattamento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6243E2D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Impatto sul clima attuale e futuro su sé stessa o sulle persone, sulla natura o sugli attivi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67724C44" w14:textId="05B9703C" w:rsidR="00EA420D" w:rsidRPr="00FF4022" w:rsidRDefault="00EA420D" w:rsidP="00685F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  <w:highlight w:val="yellow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se, ove effettivamente pertinente, è stata effettuata una valutazione dei rischi per il clima che, all’occorrenza,  sfoci nell'individuazione, nel vaglio e nell'attuazione delle misure di adattamento del caso.</w:t>
            </w:r>
          </w:p>
        </w:tc>
      </w:tr>
      <w:tr w:rsidR="006E68EC" w:rsidRPr="00FF4022" w14:paraId="1FB991A5" w14:textId="77777777" w:rsidTr="004F01D2">
        <w:tc>
          <w:tcPr>
            <w:tcW w:w="1629" w:type="dxa"/>
            <w:shd w:val="clear" w:color="auto" w:fill="auto"/>
            <w:vAlign w:val="center"/>
          </w:tcPr>
          <w:p w14:paraId="2FB5D310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Sostenibilità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D6ED305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Uso sostenibile e protezione delle acque e delle risorse marine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4FA24839" w14:textId="77777777" w:rsidR="00EA420D" w:rsidRPr="00FF4022" w:rsidRDefault="00EA420D" w:rsidP="004F01D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nuoce/se concorre al buono stato dei corpi idrici, comprese le acque di superficie e sotterranee.</w:t>
            </w:r>
          </w:p>
        </w:tc>
      </w:tr>
      <w:tr w:rsidR="006E68EC" w:rsidRPr="00FF4022" w14:paraId="58B1D7A9" w14:textId="77777777" w:rsidTr="004F01D2">
        <w:tc>
          <w:tcPr>
            <w:tcW w:w="1629" w:type="dxa"/>
            <w:shd w:val="clear" w:color="auto" w:fill="auto"/>
            <w:vAlign w:val="center"/>
          </w:tcPr>
          <w:p w14:paraId="2D151FBD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Economia circolare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E6F635D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 xml:space="preserve">Efficientamento processi e utilizzo prodotti  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243A820" w14:textId="77777777" w:rsidR="00EA420D" w:rsidRPr="00FF4022" w:rsidRDefault="00EA420D" w:rsidP="004F01D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se:</w:t>
            </w:r>
          </w:p>
          <w:p w14:paraId="68959616" w14:textId="77777777" w:rsidR="00EA420D" w:rsidRPr="00FF4022" w:rsidRDefault="00EA420D" w:rsidP="004F01D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è efficiente in relazione alle risorse principali usate;</w:t>
            </w:r>
          </w:p>
          <w:p w14:paraId="4DABA840" w14:textId="77777777" w:rsidR="00EA420D" w:rsidRPr="00FF4022" w:rsidRDefault="00EA420D" w:rsidP="004F01D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non ha effetti negativi/ha effetti positivi su produzione, incenerimento o smaltimento dei rifiuti;</w:t>
            </w:r>
          </w:p>
          <w:p w14:paraId="4D628C6C" w14:textId="1347FA70" w:rsidR="00EA420D" w:rsidRPr="00FF4022" w:rsidRDefault="00EA420D" w:rsidP="00D1457D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conduce a un efficientamento dei processi in termini di minimizzazione e/o valorizzazione dei materiali di scarto, o in termini di efficientamento energetico.</w:t>
            </w:r>
          </w:p>
        </w:tc>
      </w:tr>
      <w:tr w:rsidR="006E68EC" w:rsidRPr="00FF4022" w14:paraId="6E24613B" w14:textId="77777777" w:rsidTr="004F01D2">
        <w:tc>
          <w:tcPr>
            <w:tcW w:w="1629" w:type="dxa"/>
            <w:shd w:val="clear" w:color="auto" w:fill="auto"/>
            <w:vAlign w:val="center"/>
          </w:tcPr>
          <w:p w14:paraId="39AB52B9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 xml:space="preserve">Prevenzione e riduzione 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C91655C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Inquinamento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70EA78AC" w14:textId="77777777" w:rsidR="00EA420D" w:rsidRPr="00FF4022" w:rsidRDefault="00EA420D" w:rsidP="004F01D2">
            <w:pPr>
              <w:tabs>
                <w:tab w:val="left" w:pos="709"/>
              </w:tabs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comporta un aumento significativo/comporta una riduzione o contenimento delle emissioni di sostanze inquinanti nell'aria, nell'acqua o nel suolo in conformità con quanto previsto dalla direttiva 2010/75/UE (direttiva sulle emissioni industriali).</w:t>
            </w:r>
          </w:p>
        </w:tc>
      </w:tr>
      <w:tr w:rsidR="00EA420D" w:rsidRPr="00FF4022" w14:paraId="2F0DC107" w14:textId="77777777" w:rsidTr="004F01D2">
        <w:tc>
          <w:tcPr>
            <w:tcW w:w="1629" w:type="dxa"/>
            <w:shd w:val="clear" w:color="auto" w:fill="auto"/>
            <w:vAlign w:val="center"/>
          </w:tcPr>
          <w:p w14:paraId="04B3134B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Protezione e ripristino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4F7C54A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Biodiversità ed ecosistemi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105885B2" w14:textId="77777777" w:rsidR="00EA420D" w:rsidRPr="00FF4022" w:rsidRDefault="00EA420D" w:rsidP="004F01D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impatta su aree protette e se rispetta le eventuali applicabili prescrizioni previste dalle direttive Habitat e Uccelli.</w:t>
            </w:r>
          </w:p>
        </w:tc>
      </w:tr>
    </w:tbl>
    <w:p w14:paraId="4A21B2B4" w14:textId="27A9750B" w:rsidR="009A313E" w:rsidRDefault="009A313E" w:rsidP="009A313E">
      <w:pPr>
        <w:rPr>
          <w:rFonts w:ascii="Verdana" w:hAnsi="Verdana" w:cstheme="minorHAnsi"/>
        </w:rPr>
      </w:pPr>
    </w:p>
    <w:p w14:paraId="6C6F2D67" w14:textId="2DCC99A5" w:rsidR="00000EC7" w:rsidRPr="00685FF0" w:rsidRDefault="00000EC7" w:rsidP="00000EC7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 xml:space="preserve">Si specifica inoltre che, come </w:t>
      </w:r>
      <w:r w:rsidR="001932A2">
        <w:rPr>
          <w:rFonts w:ascii="Verdana" w:hAnsi="Verdana" w:cstheme="minorHAnsi"/>
        </w:rPr>
        <w:t>precisato</w:t>
      </w:r>
      <w:r w:rsidR="001932A2" w:rsidRPr="00685FF0">
        <w:rPr>
          <w:rFonts w:ascii="Verdana" w:hAnsi="Verdana" w:cstheme="minorHAnsi"/>
        </w:rPr>
        <w:t xml:space="preserve"> </w:t>
      </w:r>
      <w:r w:rsidR="001932A2">
        <w:rPr>
          <w:rFonts w:ascii="Verdana" w:hAnsi="Verdana" w:cstheme="minorHAnsi"/>
        </w:rPr>
        <w:t>nella</w:t>
      </w:r>
      <w:r w:rsidRPr="00685FF0">
        <w:rPr>
          <w:rFonts w:ascii="Verdana" w:hAnsi="Verdana" w:cstheme="minorHAnsi"/>
        </w:rPr>
        <w:t xml:space="preserve"> tabella 2, gli elementi di verifica per assicurare il rispetto del principio di “non arrecare danno significativo”, di cui all’articolo 17 del Regolamento (UE) 2020/852, sono riportati alle schede intervento 2 e 9 della Circolare n. 32/2021, “</w:t>
      </w:r>
      <w:r w:rsidRPr="00DB6097">
        <w:rPr>
          <w:rFonts w:ascii="Verdana" w:hAnsi="Verdana" w:cstheme="minorHAnsi"/>
          <w:i/>
        </w:rPr>
        <w:t xml:space="preserve">Piano Nazionale di Ripresa e Resilienza – Guida operativa per il rispetto del principio di non arrecare danno significativo all’ambiente (DNSH, do </w:t>
      </w:r>
      <w:proofErr w:type="spellStart"/>
      <w:r w:rsidRPr="00DB6097">
        <w:rPr>
          <w:rFonts w:ascii="Verdana" w:hAnsi="Verdana" w:cstheme="minorHAnsi"/>
          <w:i/>
        </w:rPr>
        <w:t>not</w:t>
      </w:r>
      <w:proofErr w:type="spellEnd"/>
      <w:r w:rsidRPr="00DB6097">
        <w:rPr>
          <w:rFonts w:ascii="Verdana" w:hAnsi="Verdana" w:cstheme="minorHAnsi"/>
          <w:i/>
        </w:rPr>
        <w:t xml:space="preserve"> </w:t>
      </w:r>
      <w:proofErr w:type="spellStart"/>
      <w:r w:rsidRPr="00DB6097">
        <w:rPr>
          <w:rFonts w:ascii="Verdana" w:hAnsi="Verdana" w:cstheme="minorHAnsi"/>
          <w:i/>
        </w:rPr>
        <w:t>significant</w:t>
      </w:r>
      <w:proofErr w:type="spellEnd"/>
      <w:r w:rsidRPr="00DB6097">
        <w:rPr>
          <w:rFonts w:ascii="Verdana" w:hAnsi="Verdana" w:cstheme="minorHAnsi"/>
          <w:i/>
        </w:rPr>
        <w:t xml:space="preserve"> </w:t>
      </w:r>
      <w:proofErr w:type="spellStart"/>
      <w:r w:rsidRPr="00DB6097">
        <w:rPr>
          <w:rFonts w:ascii="Verdana" w:hAnsi="Verdana" w:cstheme="minorHAnsi"/>
          <w:i/>
        </w:rPr>
        <w:t>harm</w:t>
      </w:r>
      <w:proofErr w:type="spellEnd"/>
      <w:r w:rsidRPr="00DB6097">
        <w:rPr>
          <w:rFonts w:ascii="Verdana" w:hAnsi="Verdana" w:cstheme="minorHAnsi"/>
          <w:i/>
        </w:rPr>
        <w:t>)</w:t>
      </w:r>
      <w:r w:rsidRPr="00685FF0">
        <w:rPr>
          <w:rFonts w:ascii="Verdana" w:hAnsi="Verdana" w:cstheme="minorHAnsi"/>
        </w:rPr>
        <w:t xml:space="preserve">”. </w:t>
      </w:r>
    </w:p>
    <w:p w14:paraId="3FAAB737" w14:textId="77777777" w:rsidR="00000EC7" w:rsidRPr="00000EC7" w:rsidRDefault="00000EC7" w:rsidP="00000EC7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1387E6F7" w14:textId="77777777" w:rsidR="00EA420D" w:rsidRPr="00FF4022" w:rsidRDefault="00EA420D" w:rsidP="00EA420D">
      <w:pPr>
        <w:spacing w:after="120"/>
        <w:jc w:val="both"/>
        <w:rPr>
          <w:rFonts w:ascii="Verdana" w:hAnsi="Verdana" w:cstheme="minorHAnsi"/>
          <w:b/>
          <w:bCs/>
          <w:i/>
          <w:iCs/>
          <w:sz w:val="22"/>
          <w:u w:val="single"/>
        </w:rPr>
      </w:pPr>
      <w:r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Tabella 2 - Schede di riferimento circolare MEF 32/2021</w:t>
      </w:r>
    </w:p>
    <w:tbl>
      <w:tblPr>
        <w:tblW w:w="99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7229"/>
      </w:tblGrid>
      <w:tr w:rsidR="006E68EC" w:rsidRPr="00235763" w14:paraId="7A46CB7F" w14:textId="77777777" w:rsidTr="004F01D2">
        <w:trPr>
          <w:trHeight w:val="550"/>
        </w:trPr>
        <w:tc>
          <w:tcPr>
            <w:tcW w:w="2689" w:type="dxa"/>
            <w:shd w:val="clear" w:color="auto" w:fill="FFFFFF"/>
            <w:vAlign w:val="center"/>
            <w:hideMark/>
          </w:tcPr>
          <w:p w14:paraId="5FB43C4A" w14:textId="77777777" w:rsidR="00EA420D" w:rsidRPr="00235763" w:rsidRDefault="00EA420D" w:rsidP="004F01D2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235763">
              <w:rPr>
                <w:rFonts w:ascii="Verdana" w:hAnsi="Verdana" w:cstheme="minorHAnsi"/>
                <w:b/>
                <w:bCs/>
              </w:rPr>
              <w:t>Schede applicabili circolare MEF/32/2021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2079C351" w14:textId="77777777" w:rsidR="00EA420D" w:rsidRPr="00235763" w:rsidRDefault="00EA420D" w:rsidP="004F01D2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235763">
              <w:rPr>
                <w:rFonts w:ascii="Verdana" w:hAnsi="Verdana" w:cstheme="minorHAnsi"/>
                <w:b/>
                <w:bCs/>
              </w:rPr>
              <w:t>Applicabilità</w:t>
            </w:r>
          </w:p>
        </w:tc>
      </w:tr>
      <w:tr w:rsidR="00235763" w:rsidRPr="00235763" w14:paraId="66AE082F" w14:textId="77777777" w:rsidTr="004F01D2">
        <w:trPr>
          <w:trHeight w:val="260"/>
        </w:trPr>
        <w:tc>
          <w:tcPr>
            <w:tcW w:w="2689" w:type="dxa"/>
            <w:shd w:val="clear" w:color="auto" w:fill="FFFFFF"/>
            <w:noWrap/>
            <w:vAlign w:val="center"/>
          </w:tcPr>
          <w:p w14:paraId="64D2F1EE" w14:textId="77777777" w:rsidR="00235763" w:rsidRPr="00235763" w:rsidRDefault="00235763" w:rsidP="00235763">
            <w:pPr>
              <w:jc w:val="center"/>
              <w:rPr>
                <w:rFonts w:ascii="Verdana" w:hAnsi="Verdana" w:cstheme="minorHAnsi"/>
                <w:i/>
                <w:iCs/>
              </w:rPr>
            </w:pPr>
            <w:r w:rsidRPr="00235763">
              <w:rPr>
                <w:rFonts w:ascii="Verdana" w:hAnsi="Verdana" w:cstheme="minorHAnsi"/>
                <w:i/>
                <w:iCs/>
              </w:rPr>
              <w:t>Scheda 2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0B98241C" w14:textId="77777777" w:rsidR="00235763" w:rsidRPr="00235763" w:rsidRDefault="00235763" w:rsidP="00235763">
            <w:pPr>
              <w:jc w:val="both"/>
              <w:rPr>
                <w:rFonts w:ascii="Verdana" w:hAnsi="Verdana" w:cstheme="minorHAnsi"/>
              </w:rPr>
            </w:pPr>
            <w:r w:rsidRPr="00235763">
              <w:rPr>
                <w:rFonts w:ascii="Verdana" w:hAnsi="Verdana" w:cstheme="minorHAnsi"/>
              </w:rPr>
              <w:t>Ristrutturazioni e riqualificazioni di edifici residenziali e non</w:t>
            </w:r>
          </w:p>
        </w:tc>
      </w:tr>
      <w:tr w:rsidR="00235763" w:rsidRPr="00235763" w14:paraId="3DD395F3" w14:textId="77777777" w:rsidTr="004F01D2">
        <w:trPr>
          <w:trHeight w:val="230"/>
        </w:trPr>
        <w:tc>
          <w:tcPr>
            <w:tcW w:w="2689" w:type="dxa"/>
            <w:shd w:val="clear" w:color="auto" w:fill="FFFFFF"/>
            <w:noWrap/>
            <w:vAlign w:val="center"/>
          </w:tcPr>
          <w:p w14:paraId="216451E8" w14:textId="255E4DE1" w:rsidR="00235763" w:rsidRPr="00235763" w:rsidRDefault="00235763" w:rsidP="00235763">
            <w:pPr>
              <w:jc w:val="center"/>
              <w:rPr>
                <w:rFonts w:ascii="Verdana" w:hAnsi="Verdana" w:cstheme="minorHAnsi"/>
                <w:i/>
                <w:iCs/>
              </w:rPr>
            </w:pPr>
            <w:r w:rsidRPr="00235763">
              <w:rPr>
                <w:rFonts w:ascii="Verdana" w:hAnsi="Verdana" w:cstheme="minorHAnsi"/>
                <w:i/>
                <w:iCs/>
              </w:rPr>
              <w:t>Scheda 9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20A6E608" w14:textId="274C3279" w:rsidR="00235763" w:rsidRPr="00235763" w:rsidRDefault="00235763" w:rsidP="00235763">
            <w:pPr>
              <w:jc w:val="both"/>
              <w:rPr>
                <w:rFonts w:ascii="Verdana" w:hAnsi="Verdana" w:cstheme="minorHAnsi"/>
              </w:rPr>
            </w:pPr>
            <w:r w:rsidRPr="00235763">
              <w:rPr>
                <w:rFonts w:ascii="Verdana" w:hAnsi="Verdana" w:cstheme="minorHAnsi"/>
              </w:rPr>
              <w:t>Acquisto di veicoli</w:t>
            </w:r>
          </w:p>
        </w:tc>
      </w:tr>
    </w:tbl>
    <w:p w14:paraId="5D6495FF" w14:textId="76DB50A5" w:rsidR="000347AE" w:rsidRPr="00235763" w:rsidRDefault="000347AE" w:rsidP="00486E6C">
      <w:pPr>
        <w:spacing w:line="276" w:lineRule="auto"/>
        <w:jc w:val="both"/>
        <w:rPr>
          <w:rFonts w:ascii="Verdana" w:hAnsi="Verdana" w:cstheme="minorHAnsi"/>
          <w:highlight w:val="yellow"/>
        </w:rPr>
      </w:pPr>
    </w:p>
    <w:sectPr w:rsidR="000347AE" w:rsidRPr="00235763" w:rsidSect="00D97AB5">
      <w:headerReference w:type="default" r:id="rId11"/>
      <w:pgSz w:w="11906" w:h="16838" w:code="9"/>
      <w:pgMar w:top="289" w:right="849" w:bottom="709" w:left="1134" w:header="1531" w:footer="62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0F78B" w14:textId="77777777" w:rsidR="00DE7264" w:rsidRDefault="00DE7264">
      <w:r>
        <w:separator/>
      </w:r>
    </w:p>
  </w:endnote>
  <w:endnote w:type="continuationSeparator" w:id="0">
    <w:p w14:paraId="1D90F4D1" w14:textId="77777777" w:rsidR="00DE7264" w:rsidRDefault="00DE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0332" w14:textId="77777777" w:rsidR="00DE7264" w:rsidRDefault="00DE7264">
      <w:r>
        <w:separator/>
      </w:r>
    </w:p>
  </w:footnote>
  <w:footnote w:type="continuationSeparator" w:id="0">
    <w:p w14:paraId="2EB5C559" w14:textId="77777777" w:rsidR="00DE7264" w:rsidRDefault="00DE7264">
      <w:r>
        <w:continuationSeparator/>
      </w:r>
    </w:p>
  </w:footnote>
  <w:footnote w:id="1">
    <w:p w14:paraId="37E0F67A" w14:textId="77777777" w:rsidR="004F01D2" w:rsidRPr="007B6CFC" w:rsidRDefault="004F01D2" w:rsidP="00C734D9">
      <w:pPr>
        <w:pStyle w:val="Testonotaapidipagina"/>
        <w:jc w:val="both"/>
        <w:rPr>
          <w:rFonts w:ascii="Verdana" w:hAnsi="Verdana"/>
          <w:sz w:val="14"/>
          <w:szCs w:val="14"/>
        </w:rPr>
      </w:pPr>
      <w:r w:rsidRPr="007B6CFC">
        <w:rPr>
          <w:rStyle w:val="Rimandonotaapidipagina"/>
          <w:rFonts w:ascii="Verdana" w:hAnsi="Verdana"/>
          <w:sz w:val="16"/>
          <w:szCs w:val="14"/>
        </w:rPr>
        <w:footnoteRef/>
      </w:r>
      <w:r w:rsidRPr="007B6CFC">
        <w:rPr>
          <w:rFonts w:ascii="Verdana" w:hAnsi="Verdana"/>
          <w:sz w:val="14"/>
          <w:szCs w:val="14"/>
        </w:rPr>
        <w:t xml:space="preserve"> Ristrutturazioni importanti che attuano la direttiva di 2010/31/UE. La prestazione energetica dell’edificio o della parte ristrutturata che è ammodernata soddisfa i requisiti minimi di prestazione energetica ottimali in funzione dei costi conformemente alla direttiva pertinente.</w:t>
      </w:r>
    </w:p>
  </w:footnote>
  <w:footnote w:id="2">
    <w:p w14:paraId="4C5C8B19" w14:textId="77777777" w:rsidR="004F01D2" w:rsidRPr="002C4C69" w:rsidRDefault="004F01D2" w:rsidP="00C734D9">
      <w:pPr>
        <w:autoSpaceDE w:val="0"/>
        <w:autoSpaceDN w:val="0"/>
        <w:adjustRightInd w:val="0"/>
        <w:rPr>
          <w:sz w:val="18"/>
        </w:rPr>
      </w:pPr>
      <w:r w:rsidRPr="007B6CFC">
        <w:rPr>
          <w:rStyle w:val="Rimandonotaapidipagina"/>
          <w:rFonts w:ascii="Verdana" w:hAnsi="Verdana"/>
          <w:sz w:val="16"/>
        </w:rPr>
        <w:footnoteRef/>
      </w:r>
      <w:r w:rsidRPr="007B6CFC">
        <w:rPr>
          <w:rStyle w:val="Rimandonotaapidipagina"/>
          <w:rFonts w:ascii="Verdana" w:hAnsi="Verdana"/>
        </w:rPr>
        <w:t xml:space="preserve"> </w:t>
      </w:r>
      <w:r w:rsidRPr="007B6CFC">
        <w:rPr>
          <w:rFonts w:ascii="Verdana" w:hAnsi="Verdana"/>
          <w:sz w:val="14"/>
          <w:szCs w:val="14"/>
        </w:rPr>
        <w:t>Il miglioramento del 30 % deriva da un'effettiva riduzione del fabbisogno di energia primaria (in cui le riduzioni del fabbisogno di energia primaria netta mediante fonti di energia rinnovabili non sono prese in considerazione) e può essere conseguito mediante una serie di misure entro un massimo di tre anni.</w:t>
      </w:r>
    </w:p>
  </w:footnote>
  <w:footnote w:id="3">
    <w:p w14:paraId="553DBECE" w14:textId="7B6F857B" w:rsidR="004F01D2" w:rsidRDefault="004F01D2" w:rsidP="00DB6097">
      <w:pPr>
        <w:autoSpaceDE w:val="0"/>
        <w:autoSpaceDN w:val="0"/>
        <w:adjustRightInd w:val="0"/>
        <w:jc w:val="both"/>
      </w:pPr>
      <w:r w:rsidRPr="007B6CFC">
        <w:rPr>
          <w:rStyle w:val="Rimandonotaapidipagina"/>
          <w:rFonts w:ascii="Verdana" w:hAnsi="Verdana"/>
          <w:sz w:val="16"/>
        </w:rPr>
        <w:footnoteRef/>
      </w:r>
      <w:r w:rsidRPr="007B6CFC">
        <w:rPr>
          <w:rFonts w:ascii="Verdana" w:hAnsi="Verdana"/>
        </w:rPr>
        <w:t xml:space="preserve"> </w:t>
      </w:r>
      <w:r w:rsidRPr="00A17182">
        <w:rPr>
          <w:rFonts w:ascii="Verdana" w:hAnsi="Verdana" w:cs="CIDFont+F2"/>
          <w:sz w:val="14"/>
          <w:szCs w:val="16"/>
        </w:rPr>
        <w:t>Regolamento (UE) 2018/1832 della Commissione, del 5 novembre 2018, che modifica la direttiva 2007/46/CE del Parlamento europeo e del Consiglio e i regolamenti della Commissione (CE) n. 692/2008 e (UE) 2017/1151 al fine di migliorare le prove e le procedure di omologazione per le emissioni dei veicoli passeggeri e commerciali leggeri, comprese quelle per la conformità in servizio e le emissioni reali, e di introdurre dispositivi per il monitoraggio del consumo di carburante e di energia elettrica (GU L 301 del 27.11.2018, pag. 1).</w:t>
      </w:r>
    </w:p>
  </w:footnote>
  <w:footnote w:id="4">
    <w:p w14:paraId="631CD42D" w14:textId="39031C0C" w:rsidR="004F01D2" w:rsidRDefault="004F01D2" w:rsidP="00DB6097">
      <w:pPr>
        <w:autoSpaceDE w:val="0"/>
        <w:autoSpaceDN w:val="0"/>
        <w:adjustRightInd w:val="0"/>
        <w:jc w:val="both"/>
      </w:pPr>
      <w:r w:rsidRPr="007B6CFC">
        <w:rPr>
          <w:rStyle w:val="Rimandonotaapidipagina"/>
          <w:rFonts w:ascii="Verdana" w:hAnsi="Verdana"/>
          <w:sz w:val="16"/>
        </w:rPr>
        <w:footnoteRef/>
      </w:r>
      <w:r>
        <w:t xml:space="preserve"> </w:t>
      </w:r>
      <w:r w:rsidRPr="007B6CFC">
        <w:rPr>
          <w:rFonts w:ascii="Verdana" w:hAnsi="Verdana" w:cs="CIDFont+F2"/>
          <w:sz w:val="14"/>
          <w:szCs w:val="16"/>
        </w:rPr>
        <w:t>Direttiva 2009/33/CE del Parlamento europeo e del Consiglio, del 23 aprile 2009, relativa alla promozione di veicoli puliti e a basso consumo energetico nel trasporto su strada (GU L 120 del 15.5.2009, pag. 5). Far riferimento alla nuova direttiva europea 2019/1161 che modifica la direttiva 2009/33/CE. Inoltre, la direttiva europea 2019/1161 è stata recepita mediante decreto legislativo n. 187/2021.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039A" w14:textId="48C71E19" w:rsidR="004F01D2" w:rsidRDefault="004F01D2" w:rsidP="00D97AB5">
    <w:pPr>
      <w:spacing w:line="276" w:lineRule="auto"/>
      <w:ind w:right="-6"/>
      <w:jc w:val="center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F60461F" wp14:editId="646AAC03">
          <wp:simplePos x="0" y="0"/>
          <wp:positionH relativeFrom="column">
            <wp:posOffset>4051935</wp:posOffset>
          </wp:positionH>
          <wp:positionV relativeFrom="paragraph">
            <wp:posOffset>-715010</wp:posOffset>
          </wp:positionV>
          <wp:extent cx="1323975" cy="610870"/>
          <wp:effectExtent l="0" t="0" r="9525" b="0"/>
          <wp:wrapThrough wrapText="bothSides">
            <wp:wrapPolygon edited="0">
              <wp:start x="0" y="0"/>
              <wp:lineTo x="0" y="20881"/>
              <wp:lineTo x="21445" y="20881"/>
              <wp:lineTo x="21445" y="0"/>
              <wp:lineTo x="0" y="0"/>
            </wp:wrapPolygon>
          </wp:wrapThrough>
          <wp:docPr id="12" name="Immagine 12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34D4836A" wp14:editId="0D8C4C46">
          <wp:simplePos x="0" y="0"/>
          <wp:positionH relativeFrom="margin">
            <wp:posOffset>-581025</wp:posOffset>
          </wp:positionH>
          <wp:positionV relativeFrom="paragraph">
            <wp:posOffset>-715010</wp:posOffset>
          </wp:positionV>
          <wp:extent cx="1819910" cy="546100"/>
          <wp:effectExtent l="0" t="0" r="8890" b="635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9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1312" behindDoc="0" locked="0" layoutInCell="1" allowOverlap="1" wp14:anchorId="52810829" wp14:editId="4395C004">
          <wp:simplePos x="0" y="0"/>
          <wp:positionH relativeFrom="margin">
            <wp:posOffset>5586730</wp:posOffset>
          </wp:positionH>
          <wp:positionV relativeFrom="paragraph">
            <wp:posOffset>-772160</wp:posOffset>
          </wp:positionV>
          <wp:extent cx="1104900" cy="72517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MIPAAF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E735C">
      <w:rPr>
        <w:noProof/>
        <w:color w:val="0070C0"/>
        <w:sz w:val="54"/>
      </w:rPr>
      <w:drawing>
        <wp:anchor distT="0" distB="0" distL="114300" distR="114300" simplePos="0" relativeHeight="251662336" behindDoc="0" locked="0" layoutInCell="1" allowOverlap="1" wp14:anchorId="31CF702C" wp14:editId="381880F5">
          <wp:simplePos x="0" y="0"/>
          <wp:positionH relativeFrom="page">
            <wp:posOffset>3521075</wp:posOffset>
          </wp:positionH>
          <wp:positionV relativeFrom="paragraph">
            <wp:posOffset>-770890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468F">
      <w:rPr>
        <w:rFonts w:ascii="Palace Script MT" w:hAnsi="Palace Script MT"/>
        <w:color w:val="003399"/>
        <w:sz w:val="52"/>
        <w:szCs w:val="68"/>
      </w:rPr>
      <w:t>Ministero delle politiche agricole alimentari e forestali</w:t>
    </w:r>
    <w: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224"/>
    <w:multiLevelType w:val="hybridMultilevel"/>
    <w:tmpl w:val="89FCFA72"/>
    <w:lvl w:ilvl="0" w:tplc="99E446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AED9E4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E2E65"/>
    <w:multiLevelType w:val="hybridMultilevel"/>
    <w:tmpl w:val="7E027B9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C4ADE"/>
    <w:multiLevelType w:val="hybridMultilevel"/>
    <w:tmpl w:val="A27AA9A2"/>
    <w:lvl w:ilvl="0" w:tplc="04100017">
      <w:start w:val="1"/>
      <w:numFmt w:val="lowerLetter"/>
      <w:lvlText w:val="%1)"/>
      <w:lvlJc w:val="left"/>
      <w:pPr>
        <w:ind w:left="3600" w:hanging="360"/>
      </w:pPr>
    </w:lvl>
    <w:lvl w:ilvl="1" w:tplc="04100019" w:tentative="1">
      <w:start w:val="1"/>
      <w:numFmt w:val="lowerLetter"/>
      <w:lvlText w:val="%2."/>
      <w:lvlJc w:val="left"/>
      <w:pPr>
        <w:ind w:left="4320" w:hanging="360"/>
      </w:pPr>
    </w:lvl>
    <w:lvl w:ilvl="2" w:tplc="0410001B" w:tentative="1">
      <w:start w:val="1"/>
      <w:numFmt w:val="lowerRoman"/>
      <w:lvlText w:val="%3."/>
      <w:lvlJc w:val="right"/>
      <w:pPr>
        <w:ind w:left="5040" w:hanging="180"/>
      </w:pPr>
    </w:lvl>
    <w:lvl w:ilvl="3" w:tplc="0410000F" w:tentative="1">
      <w:start w:val="1"/>
      <w:numFmt w:val="decimal"/>
      <w:lvlText w:val="%4."/>
      <w:lvlJc w:val="left"/>
      <w:pPr>
        <w:ind w:left="5760" w:hanging="360"/>
      </w:pPr>
    </w:lvl>
    <w:lvl w:ilvl="4" w:tplc="04100019" w:tentative="1">
      <w:start w:val="1"/>
      <w:numFmt w:val="lowerLetter"/>
      <w:lvlText w:val="%5."/>
      <w:lvlJc w:val="left"/>
      <w:pPr>
        <w:ind w:left="6480" w:hanging="360"/>
      </w:pPr>
    </w:lvl>
    <w:lvl w:ilvl="5" w:tplc="0410001B" w:tentative="1">
      <w:start w:val="1"/>
      <w:numFmt w:val="lowerRoman"/>
      <w:lvlText w:val="%6."/>
      <w:lvlJc w:val="right"/>
      <w:pPr>
        <w:ind w:left="7200" w:hanging="180"/>
      </w:pPr>
    </w:lvl>
    <w:lvl w:ilvl="6" w:tplc="0410000F" w:tentative="1">
      <w:start w:val="1"/>
      <w:numFmt w:val="decimal"/>
      <w:lvlText w:val="%7."/>
      <w:lvlJc w:val="left"/>
      <w:pPr>
        <w:ind w:left="7920" w:hanging="360"/>
      </w:pPr>
    </w:lvl>
    <w:lvl w:ilvl="7" w:tplc="04100019" w:tentative="1">
      <w:start w:val="1"/>
      <w:numFmt w:val="lowerLetter"/>
      <w:lvlText w:val="%8."/>
      <w:lvlJc w:val="left"/>
      <w:pPr>
        <w:ind w:left="8640" w:hanging="360"/>
      </w:pPr>
    </w:lvl>
    <w:lvl w:ilvl="8" w:tplc="0410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0C391FCD"/>
    <w:multiLevelType w:val="hybridMultilevel"/>
    <w:tmpl w:val="B3CACA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54FAC"/>
    <w:multiLevelType w:val="hybridMultilevel"/>
    <w:tmpl w:val="06CC2B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ED656E"/>
    <w:multiLevelType w:val="hybridMultilevel"/>
    <w:tmpl w:val="E0440D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BF3BA0"/>
    <w:multiLevelType w:val="hybridMultilevel"/>
    <w:tmpl w:val="352C65B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AB3558"/>
    <w:multiLevelType w:val="hybridMultilevel"/>
    <w:tmpl w:val="87DEC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75D6E"/>
    <w:multiLevelType w:val="hybridMultilevel"/>
    <w:tmpl w:val="2FAAF14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1EC2"/>
    <w:multiLevelType w:val="hybridMultilevel"/>
    <w:tmpl w:val="72080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C391B"/>
    <w:multiLevelType w:val="hybridMultilevel"/>
    <w:tmpl w:val="20329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6771E"/>
    <w:multiLevelType w:val="hybridMultilevel"/>
    <w:tmpl w:val="821272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A1C02"/>
    <w:multiLevelType w:val="hybridMultilevel"/>
    <w:tmpl w:val="7228CAF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8F039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F063D"/>
    <w:multiLevelType w:val="hybridMultilevel"/>
    <w:tmpl w:val="E392ECA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4" w15:restartNumberingAfterBreak="0">
    <w:nsid w:val="26814A18"/>
    <w:multiLevelType w:val="hybridMultilevel"/>
    <w:tmpl w:val="A19A3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E0D71"/>
    <w:multiLevelType w:val="hybridMultilevel"/>
    <w:tmpl w:val="53E029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51209C"/>
    <w:multiLevelType w:val="hybridMultilevel"/>
    <w:tmpl w:val="31E807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E1D34"/>
    <w:multiLevelType w:val="hybridMultilevel"/>
    <w:tmpl w:val="F6EC546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8" w15:restartNumberingAfterBreak="0">
    <w:nsid w:val="2FC00A6D"/>
    <w:multiLevelType w:val="hybridMultilevel"/>
    <w:tmpl w:val="5D781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44272"/>
    <w:multiLevelType w:val="hybridMultilevel"/>
    <w:tmpl w:val="568E1B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CD0A88"/>
    <w:multiLevelType w:val="hybridMultilevel"/>
    <w:tmpl w:val="610460A4"/>
    <w:lvl w:ilvl="0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116EA"/>
    <w:multiLevelType w:val="hybridMultilevel"/>
    <w:tmpl w:val="7AD6FE0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A3BF4"/>
    <w:multiLevelType w:val="hybridMultilevel"/>
    <w:tmpl w:val="A5FC1D98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63196"/>
    <w:multiLevelType w:val="hybridMultilevel"/>
    <w:tmpl w:val="22E4C61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24" w15:restartNumberingAfterBreak="0">
    <w:nsid w:val="448B3A54"/>
    <w:multiLevelType w:val="hybridMultilevel"/>
    <w:tmpl w:val="DF369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DC63E5"/>
    <w:multiLevelType w:val="hybridMultilevel"/>
    <w:tmpl w:val="22C073F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0478AF"/>
    <w:multiLevelType w:val="hybridMultilevel"/>
    <w:tmpl w:val="5426ADB0"/>
    <w:lvl w:ilvl="0" w:tplc="5CAED9E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39A"/>
    <w:multiLevelType w:val="hybridMultilevel"/>
    <w:tmpl w:val="FFDA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250A7"/>
    <w:multiLevelType w:val="hybridMultilevel"/>
    <w:tmpl w:val="7F2EAFE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6309E8"/>
    <w:multiLevelType w:val="hybridMultilevel"/>
    <w:tmpl w:val="950A3FC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91DBF"/>
    <w:multiLevelType w:val="hybridMultilevel"/>
    <w:tmpl w:val="A0345B5C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F0E6D"/>
    <w:multiLevelType w:val="hybridMultilevel"/>
    <w:tmpl w:val="105846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22968"/>
    <w:multiLevelType w:val="hybridMultilevel"/>
    <w:tmpl w:val="4EFEC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B1DEA"/>
    <w:multiLevelType w:val="hybridMultilevel"/>
    <w:tmpl w:val="A27AA9A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B35FB7"/>
    <w:multiLevelType w:val="hybridMultilevel"/>
    <w:tmpl w:val="72EA1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72D"/>
    <w:multiLevelType w:val="hybridMultilevel"/>
    <w:tmpl w:val="9DA4344A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F74A4"/>
    <w:multiLevelType w:val="hybridMultilevel"/>
    <w:tmpl w:val="ED64C4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17CD9"/>
    <w:multiLevelType w:val="hybridMultilevel"/>
    <w:tmpl w:val="C1F67D7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38" w15:restartNumberingAfterBreak="0">
    <w:nsid w:val="6E6441BB"/>
    <w:multiLevelType w:val="hybridMultilevel"/>
    <w:tmpl w:val="E5EC29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0530FD"/>
    <w:multiLevelType w:val="hybridMultilevel"/>
    <w:tmpl w:val="740686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74E3B"/>
    <w:multiLevelType w:val="hybridMultilevel"/>
    <w:tmpl w:val="E65E4720"/>
    <w:lvl w:ilvl="0" w:tplc="0410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41" w15:restartNumberingAfterBreak="0">
    <w:nsid w:val="79521C45"/>
    <w:multiLevelType w:val="hybridMultilevel"/>
    <w:tmpl w:val="D3143C70"/>
    <w:lvl w:ilvl="0" w:tplc="EC9CCD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B3144"/>
    <w:multiLevelType w:val="hybridMultilevel"/>
    <w:tmpl w:val="0268A6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A467F3"/>
    <w:multiLevelType w:val="hybridMultilevel"/>
    <w:tmpl w:val="5B7615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E72854"/>
    <w:multiLevelType w:val="hybridMultilevel"/>
    <w:tmpl w:val="B5CE3E9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45" w15:restartNumberingAfterBreak="0">
    <w:nsid w:val="7CCF748A"/>
    <w:multiLevelType w:val="hybridMultilevel"/>
    <w:tmpl w:val="2978552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7768712">
    <w:abstractNumId w:val="12"/>
  </w:num>
  <w:num w:numId="2" w16cid:durableId="874196161">
    <w:abstractNumId w:val="40"/>
  </w:num>
  <w:num w:numId="3" w16cid:durableId="49691283">
    <w:abstractNumId w:val="45"/>
  </w:num>
  <w:num w:numId="4" w16cid:durableId="2073460553">
    <w:abstractNumId w:val="21"/>
  </w:num>
  <w:num w:numId="5" w16cid:durableId="853113898">
    <w:abstractNumId w:val="32"/>
  </w:num>
  <w:num w:numId="6" w16cid:durableId="383986717">
    <w:abstractNumId w:val="0"/>
  </w:num>
  <w:num w:numId="7" w16cid:durableId="301690335">
    <w:abstractNumId w:val="26"/>
  </w:num>
  <w:num w:numId="8" w16cid:durableId="1008098542">
    <w:abstractNumId w:val="41"/>
  </w:num>
  <w:num w:numId="9" w16cid:durableId="170066597">
    <w:abstractNumId w:val="8"/>
  </w:num>
  <w:num w:numId="10" w16cid:durableId="1991052827">
    <w:abstractNumId w:val="29"/>
  </w:num>
  <w:num w:numId="11" w16cid:durableId="1453672540">
    <w:abstractNumId w:val="11"/>
  </w:num>
  <w:num w:numId="12" w16cid:durableId="1967469732">
    <w:abstractNumId w:val="24"/>
  </w:num>
  <w:num w:numId="13" w16cid:durableId="570189457">
    <w:abstractNumId w:val="39"/>
  </w:num>
  <w:num w:numId="14" w16cid:durableId="2040203114">
    <w:abstractNumId w:val="3"/>
  </w:num>
  <w:num w:numId="15" w16cid:durableId="1979455196">
    <w:abstractNumId w:val="7"/>
  </w:num>
  <w:num w:numId="16" w16cid:durableId="857694582">
    <w:abstractNumId w:val="18"/>
  </w:num>
  <w:num w:numId="17" w16cid:durableId="105121968">
    <w:abstractNumId w:val="14"/>
  </w:num>
  <w:num w:numId="18" w16cid:durableId="2085251931">
    <w:abstractNumId w:val="38"/>
  </w:num>
  <w:num w:numId="19" w16cid:durableId="782923599">
    <w:abstractNumId w:val="43"/>
  </w:num>
  <w:num w:numId="20" w16cid:durableId="32312585">
    <w:abstractNumId w:val="27"/>
  </w:num>
  <w:num w:numId="21" w16cid:durableId="743333127">
    <w:abstractNumId w:val="34"/>
  </w:num>
  <w:num w:numId="22" w16cid:durableId="224529906">
    <w:abstractNumId w:val="4"/>
  </w:num>
  <w:num w:numId="23" w16cid:durableId="1181548946">
    <w:abstractNumId w:val="42"/>
  </w:num>
  <w:num w:numId="24" w16cid:durableId="1335953860">
    <w:abstractNumId w:val="1"/>
  </w:num>
  <w:num w:numId="25" w16cid:durableId="1236548050">
    <w:abstractNumId w:val="31"/>
  </w:num>
  <w:num w:numId="26" w16cid:durableId="726413272">
    <w:abstractNumId w:val="16"/>
  </w:num>
  <w:num w:numId="27" w16cid:durableId="51201216">
    <w:abstractNumId w:val="33"/>
  </w:num>
  <w:num w:numId="28" w16cid:durableId="648823039">
    <w:abstractNumId w:val="2"/>
  </w:num>
  <w:num w:numId="29" w16cid:durableId="692347380">
    <w:abstractNumId w:val="20"/>
  </w:num>
  <w:num w:numId="30" w16cid:durableId="241525337">
    <w:abstractNumId w:val="44"/>
  </w:num>
  <w:num w:numId="31" w16cid:durableId="646590701">
    <w:abstractNumId w:val="23"/>
  </w:num>
  <w:num w:numId="32" w16cid:durableId="930354816">
    <w:abstractNumId w:val="13"/>
  </w:num>
  <w:num w:numId="33" w16cid:durableId="1752385914">
    <w:abstractNumId w:val="37"/>
  </w:num>
  <w:num w:numId="34" w16cid:durableId="669479560">
    <w:abstractNumId w:val="17"/>
  </w:num>
  <w:num w:numId="35" w16cid:durableId="1392532844">
    <w:abstractNumId w:val="15"/>
  </w:num>
  <w:num w:numId="36" w16cid:durableId="1941916213">
    <w:abstractNumId w:val="28"/>
  </w:num>
  <w:num w:numId="37" w16cid:durableId="1766607268">
    <w:abstractNumId w:val="6"/>
  </w:num>
  <w:num w:numId="38" w16cid:durableId="1627153371">
    <w:abstractNumId w:val="25"/>
  </w:num>
  <w:num w:numId="39" w16cid:durableId="801074030">
    <w:abstractNumId w:val="9"/>
  </w:num>
  <w:num w:numId="40" w16cid:durableId="1850174433">
    <w:abstractNumId w:val="19"/>
  </w:num>
  <w:num w:numId="41" w16cid:durableId="662902493">
    <w:abstractNumId w:val="5"/>
  </w:num>
  <w:num w:numId="42" w16cid:durableId="1932006721">
    <w:abstractNumId w:val="36"/>
  </w:num>
  <w:num w:numId="43" w16cid:durableId="654531958">
    <w:abstractNumId w:val="10"/>
  </w:num>
  <w:num w:numId="44" w16cid:durableId="1690839447">
    <w:abstractNumId w:val="35"/>
  </w:num>
  <w:num w:numId="45" w16cid:durableId="736830186">
    <w:abstractNumId w:val="22"/>
  </w:num>
  <w:num w:numId="46" w16cid:durableId="163906391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2C9"/>
    <w:rsid w:val="00000B2C"/>
    <w:rsid w:val="00000EC7"/>
    <w:rsid w:val="000023E2"/>
    <w:rsid w:val="0000745A"/>
    <w:rsid w:val="0001196C"/>
    <w:rsid w:val="00013722"/>
    <w:rsid w:val="000144F9"/>
    <w:rsid w:val="0001556B"/>
    <w:rsid w:val="0001626D"/>
    <w:rsid w:val="00023CDB"/>
    <w:rsid w:val="000315C5"/>
    <w:rsid w:val="0003260B"/>
    <w:rsid w:val="00032CDA"/>
    <w:rsid w:val="00033020"/>
    <w:rsid w:val="000347AE"/>
    <w:rsid w:val="00034B9A"/>
    <w:rsid w:val="0004251A"/>
    <w:rsid w:val="00045B70"/>
    <w:rsid w:val="00052EA5"/>
    <w:rsid w:val="00053315"/>
    <w:rsid w:val="0005396C"/>
    <w:rsid w:val="00053DB1"/>
    <w:rsid w:val="00057FE3"/>
    <w:rsid w:val="00062777"/>
    <w:rsid w:val="0006306B"/>
    <w:rsid w:val="00063557"/>
    <w:rsid w:val="00063FBA"/>
    <w:rsid w:val="00065B4A"/>
    <w:rsid w:val="0006682B"/>
    <w:rsid w:val="00067445"/>
    <w:rsid w:val="000737E1"/>
    <w:rsid w:val="00074C43"/>
    <w:rsid w:val="00075AF0"/>
    <w:rsid w:val="000805DB"/>
    <w:rsid w:val="000828DF"/>
    <w:rsid w:val="00083505"/>
    <w:rsid w:val="00085B4E"/>
    <w:rsid w:val="00090A01"/>
    <w:rsid w:val="00091F07"/>
    <w:rsid w:val="00096175"/>
    <w:rsid w:val="00097C11"/>
    <w:rsid w:val="000A1AC0"/>
    <w:rsid w:val="000A1B5F"/>
    <w:rsid w:val="000A31DF"/>
    <w:rsid w:val="000A3ABE"/>
    <w:rsid w:val="000A4FF9"/>
    <w:rsid w:val="000A62FA"/>
    <w:rsid w:val="000A7B7E"/>
    <w:rsid w:val="000B1206"/>
    <w:rsid w:val="000B1382"/>
    <w:rsid w:val="000B2DB0"/>
    <w:rsid w:val="000B4D3A"/>
    <w:rsid w:val="000C5340"/>
    <w:rsid w:val="000C53DE"/>
    <w:rsid w:val="000C63DC"/>
    <w:rsid w:val="000C6F2F"/>
    <w:rsid w:val="000C7168"/>
    <w:rsid w:val="000C786A"/>
    <w:rsid w:val="000C7E79"/>
    <w:rsid w:val="000D15FF"/>
    <w:rsid w:val="000D5F29"/>
    <w:rsid w:val="000D73FD"/>
    <w:rsid w:val="000D75A3"/>
    <w:rsid w:val="000D7B72"/>
    <w:rsid w:val="000E2BE5"/>
    <w:rsid w:val="000E3986"/>
    <w:rsid w:val="000E44C5"/>
    <w:rsid w:val="000E760C"/>
    <w:rsid w:val="000E7DDE"/>
    <w:rsid w:val="000E7E17"/>
    <w:rsid w:val="000F291A"/>
    <w:rsid w:val="000F2AD0"/>
    <w:rsid w:val="000F433F"/>
    <w:rsid w:val="000F574E"/>
    <w:rsid w:val="000F68E9"/>
    <w:rsid w:val="000F6C4E"/>
    <w:rsid w:val="000F73DB"/>
    <w:rsid w:val="00100E2A"/>
    <w:rsid w:val="0010533F"/>
    <w:rsid w:val="00110CBB"/>
    <w:rsid w:val="0011101D"/>
    <w:rsid w:val="00111995"/>
    <w:rsid w:val="001129A8"/>
    <w:rsid w:val="00113BB0"/>
    <w:rsid w:val="00113BDB"/>
    <w:rsid w:val="001148FA"/>
    <w:rsid w:val="0012117B"/>
    <w:rsid w:val="001238D4"/>
    <w:rsid w:val="00126484"/>
    <w:rsid w:val="0013092C"/>
    <w:rsid w:val="001311FC"/>
    <w:rsid w:val="00131C51"/>
    <w:rsid w:val="0013419D"/>
    <w:rsid w:val="00134BBC"/>
    <w:rsid w:val="001406F4"/>
    <w:rsid w:val="00142596"/>
    <w:rsid w:val="001453AA"/>
    <w:rsid w:val="00145545"/>
    <w:rsid w:val="001462C6"/>
    <w:rsid w:val="00146CE3"/>
    <w:rsid w:val="00146CF1"/>
    <w:rsid w:val="0016269F"/>
    <w:rsid w:val="001661C6"/>
    <w:rsid w:val="001703DB"/>
    <w:rsid w:val="00170ECA"/>
    <w:rsid w:val="00171CB5"/>
    <w:rsid w:val="00173619"/>
    <w:rsid w:val="001742FB"/>
    <w:rsid w:val="00174AF6"/>
    <w:rsid w:val="00175174"/>
    <w:rsid w:val="00177A70"/>
    <w:rsid w:val="00177EB1"/>
    <w:rsid w:val="0018028D"/>
    <w:rsid w:val="0018124F"/>
    <w:rsid w:val="00181D66"/>
    <w:rsid w:val="00182AE9"/>
    <w:rsid w:val="0018435B"/>
    <w:rsid w:val="001871ED"/>
    <w:rsid w:val="00191444"/>
    <w:rsid w:val="001932A2"/>
    <w:rsid w:val="001944EE"/>
    <w:rsid w:val="0019516B"/>
    <w:rsid w:val="0019549A"/>
    <w:rsid w:val="001A1E7C"/>
    <w:rsid w:val="001A298A"/>
    <w:rsid w:val="001A358F"/>
    <w:rsid w:val="001A389D"/>
    <w:rsid w:val="001A40AF"/>
    <w:rsid w:val="001A6595"/>
    <w:rsid w:val="001A678B"/>
    <w:rsid w:val="001B17BD"/>
    <w:rsid w:val="001B223D"/>
    <w:rsid w:val="001B6566"/>
    <w:rsid w:val="001C35C7"/>
    <w:rsid w:val="001C3615"/>
    <w:rsid w:val="001C38AC"/>
    <w:rsid w:val="001C4135"/>
    <w:rsid w:val="001C5387"/>
    <w:rsid w:val="001C6A02"/>
    <w:rsid w:val="001C7DAA"/>
    <w:rsid w:val="001D063E"/>
    <w:rsid w:val="001D232D"/>
    <w:rsid w:val="001D2827"/>
    <w:rsid w:val="001D2EBC"/>
    <w:rsid w:val="001D4483"/>
    <w:rsid w:val="001D54F4"/>
    <w:rsid w:val="001D5940"/>
    <w:rsid w:val="001D6802"/>
    <w:rsid w:val="001D7224"/>
    <w:rsid w:val="001D7516"/>
    <w:rsid w:val="001E0868"/>
    <w:rsid w:val="001E1E51"/>
    <w:rsid w:val="001E26B9"/>
    <w:rsid w:val="001E4DA8"/>
    <w:rsid w:val="001E4F20"/>
    <w:rsid w:val="001E5067"/>
    <w:rsid w:val="001E51BB"/>
    <w:rsid w:val="001F18EE"/>
    <w:rsid w:val="001F1A37"/>
    <w:rsid w:val="002037ED"/>
    <w:rsid w:val="002071EC"/>
    <w:rsid w:val="002104FC"/>
    <w:rsid w:val="0021157E"/>
    <w:rsid w:val="00212018"/>
    <w:rsid w:val="00212B32"/>
    <w:rsid w:val="00213F26"/>
    <w:rsid w:val="002142D8"/>
    <w:rsid w:val="002156A9"/>
    <w:rsid w:val="002164A3"/>
    <w:rsid w:val="00222289"/>
    <w:rsid w:val="002235E0"/>
    <w:rsid w:val="00224AD8"/>
    <w:rsid w:val="00225D84"/>
    <w:rsid w:val="00226D25"/>
    <w:rsid w:val="00227689"/>
    <w:rsid w:val="002309C2"/>
    <w:rsid w:val="002314F9"/>
    <w:rsid w:val="00233702"/>
    <w:rsid w:val="0023411C"/>
    <w:rsid w:val="002350E8"/>
    <w:rsid w:val="00235763"/>
    <w:rsid w:val="00235EF2"/>
    <w:rsid w:val="0023633D"/>
    <w:rsid w:val="0023756B"/>
    <w:rsid w:val="00237D41"/>
    <w:rsid w:val="0024234C"/>
    <w:rsid w:val="00242DD3"/>
    <w:rsid w:val="00242EDD"/>
    <w:rsid w:val="00244F70"/>
    <w:rsid w:val="00245349"/>
    <w:rsid w:val="00246BDE"/>
    <w:rsid w:val="00247287"/>
    <w:rsid w:val="00247859"/>
    <w:rsid w:val="00247F33"/>
    <w:rsid w:val="00255299"/>
    <w:rsid w:val="00255D87"/>
    <w:rsid w:val="00256ABA"/>
    <w:rsid w:val="00261717"/>
    <w:rsid w:val="00262239"/>
    <w:rsid w:val="0027098D"/>
    <w:rsid w:val="00272C73"/>
    <w:rsid w:val="002733B4"/>
    <w:rsid w:val="002742CD"/>
    <w:rsid w:val="002750A7"/>
    <w:rsid w:val="0027688F"/>
    <w:rsid w:val="0028086F"/>
    <w:rsid w:val="002820A5"/>
    <w:rsid w:val="002839CC"/>
    <w:rsid w:val="00283C05"/>
    <w:rsid w:val="00285674"/>
    <w:rsid w:val="00286423"/>
    <w:rsid w:val="00287208"/>
    <w:rsid w:val="00287692"/>
    <w:rsid w:val="0029052C"/>
    <w:rsid w:val="002930AB"/>
    <w:rsid w:val="0029393D"/>
    <w:rsid w:val="002976FB"/>
    <w:rsid w:val="00297BF3"/>
    <w:rsid w:val="00297DBF"/>
    <w:rsid w:val="002A56FB"/>
    <w:rsid w:val="002B082A"/>
    <w:rsid w:val="002B4C69"/>
    <w:rsid w:val="002B549F"/>
    <w:rsid w:val="002B5729"/>
    <w:rsid w:val="002B5889"/>
    <w:rsid w:val="002C4268"/>
    <w:rsid w:val="002C4C69"/>
    <w:rsid w:val="002C7B49"/>
    <w:rsid w:val="002D24C7"/>
    <w:rsid w:val="002D2BE3"/>
    <w:rsid w:val="002D5753"/>
    <w:rsid w:val="002D5EE6"/>
    <w:rsid w:val="002D622C"/>
    <w:rsid w:val="002D741F"/>
    <w:rsid w:val="002D7940"/>
    <w:rsid w:val="002E42FB"/>
    <w:rsid w:val="002E5AD0"/>
    <w:rsid w:val="002E6955"/>
    <w:rsid w:val="002F197A"/>
    <w:rsid w:val="002F327A"/>
    <w:rsid w:val="002F4895"/>
    <w:rsid w:val="00302A4E"/>
    <w:rsid w:val="00303C8D"/>
    <w:rsid w:val="003079A6"/>
    <w:rsid w:val="0031058B"/>
    <w:rsid w:val="003114D3"/>
    <w:rsid w:val="00311742"/>
    <w:rsid w:val="00320E4A"/>
    <w:rsid w:val="0032185F"/>
    <w:rsid w:val="003236D5"/>
    <w:rsid w:val="00327251"/>
    <w:rsid w:val="00330311"/>
    <w:rsid w:val="00330DD1"/>
    <w:rsid w:val="00331261"/>
    <w:rsid w:val="00331663"/>
    <w:rsid w:val="00334F5C"/>
    <w:rsid w:val="00335459"/>
    <w:rsid w:val="003367F4"/>
    <w:rsid w:val="00337C24"/>
    <w:rsid w:val="00343FAB"/>
    <w:rsid w:val="003440DA"/>
    <w:rsid w:val="003445F7"/>
    <w:rsid w:val="00344671"/>
    <w:rsid w:val="003454D9"/>
    <w:rsid w:val="00346D2D"/>
    <w:rsid w:val="00347441"/>
    <w:rsid w:val="003515D5"/>
    <w:rsid w:val="0035716A"/>
    <w:rsid w:val="003631D4"/>
    <w:rsid w:val="00363643"/>
    <w:rsid w:val="003636D4"/>
    <w:rsid w:val="00366AD6"/>
    <w:rsid w:val="00371F11"/>
    <w:rsid w:val="00375F2C"/>
    <w:rsid w:val="00376AD5"/>
    <w:rsid w:val="00377E76"/>
    <w:rsid w:val="00382BE1"/>
    <w:rsid w:val="00382E98"/>
    <w:rsid w:val="0038573A"/>
    <w:rsid w:val="00390640"/>
    <w:rsid w:val="00393D6C"/>
    <w:rsid w:val="003951D1"/>
    <w:rsid w:val="0039556D"/>
    <w:rsid w:val="0039735F"/>
    <w:rsid w:val="003976BB"/>
    <w:rsid w:val="003A2C00"/>
    <w:rsid w:val="003A3839"/>
    <w:rsid w:val="003A6EB9"/>
    <w:rsid w:val="003B02D0"/>
    <w:rsid w:val="003B1A98"/>
    <w:rsid w:val="003B5A6D"/>
    <w:rsid w:val="003B66F1"/>
    <w:rsid w:val="003C1C27"/>
    <w:rsid w:val="003C3CFB"/>
    <w:rsid w:val="003C507C"/>
    <w:rsid w:val="003C71A5"/>
    <w:rsid w:val="003D059D"/>
    <w:rsid w:val="003D26A3"/>
    <w:rsid w:val="003D293C"/>
    <w:rsid w:val="003D463A"/>
    <w:rsid w:val="003D514C"/>
    <w:rsid w:val="003E0BEF"/>
    <w:rsid w:val="003E2AC5"/>
    <w:rsid w:val="003E3E13"/>
    <w:rsid w:val="003E4479"/>
    <w:rsid w:val="003E4DEB"/>
    <w:rsid w:val="003E75C8"/>
    <w:rsid w:val="003F02CF"/>
    <w:rsid w:val="003F2F2A"/>
    <w:rsid w:val="003F35A4"/>
    <w:rsid w:val="003F4C8F"/>
    <w:rsid w:val="003F5B42"/>
    <w:rsid w:val="003F60AB"/>
    <w:rsid w:val="004008A0"/>
    <w:rsid w:val="0040335E"/>
    <w:rsid w:val="00410084"/>
    <w:rsid w:val="0041119C"/>
    <w:rsid w:val="00412FF5"/>
    <w:rsid w:val="00414E05"/>
    <w:rsid w:val="00415CAC"/>
    <w:rsid w:val="00420308"/>
    <w:rsid w:val="00420DDB"/>
    <w:rsid w:val="00420EFE"/>
    <w:rsid w:val="00421F36"/>
    <w:rsid w:val="00423531"/>
    <w:rsid w:val="00427670"/>
    <w:rsid w:val="004279FB"/>
    <w:rsid w:val="00427A70"/>
    <w:rsid w:val="00430111"/>
    <w:rsid w:val="00430D18"/>
    <w:rsid w:val="00430D60"/>
    <w:rsid w:val="00431B43"/>
    <w:rsid w:val="0043389D"/>
    <w:rsid w:val="00435269"/>
    <w:rsid w:val="00436B73"/>
    <w:rsid w:val="0043750A"/>
    <w:rsid w:val="00437BA3"/>
    <w:rsid w:val="0044044C"/>
    <w:rsid w:val="00440A49"/>
    <w:rsid w:val="00441C58"/>
    <w:rsid w:val="004421C8"/>
    <w:rsid w:val="00443FD4"/>
    <w:rsid w:val="0044771E"/>
    <w:rsid w:val="00450060"/>
    <w:rsid w:val="00460706"/>
    <w:rsid w:val="00460CED"/>
    <w:rsid w:val="004615D2"/>
    <w:rsid w:val="0046437F"/>
    <w:rsid w:val="00470FDF"/>
    <w:rsid w:val="00473001"/>
    <w:rsid w:val="00474BF5"/>
    <w:rsid w:val="00480F04"/>
    <w:rsid w:val="004822B4"/>
    <w:rsid w:val="00482EF6"/>
    <w:rsid w:val="00483733"/>
    <w:rsid w:val="00484A68"/>
    <w:rsid w:val="00484C25"/>
    <w:rsid w:val="00485E21"/>
    <w:rsid w:val="004865DA"/>
    <w:rsid w:val="00486E6C"/>
    <w:rsid w:val="00486F06"/>
    <w:rsid w:val="00487983"/>
    <w:rsid w:val="00490012"/>
    <w:rsid w:val="00490178"/>
    <w:rsid w:val="00490196"/>
    <w:rsid w:val="00491335"/>
    <w:rsid w:val="00491C84"/>
    <w:rsid w:val="0049239B"/>
    <w:rsid w:val="0049642E"/>
    <w:rsid w:val="004A1733"/>
    <w:rsid w:val="004A2614"/>
    <w:rsid w:val="004A34C4"/>
    <w:rsid w:val="004A7AE2"/>
    <w:rsid w:val="004B06BA"/>
    <w:rsid w:val="004B1403"/>
    <w:rsid w:val="004B16C8"/>
    <w:rsid w:val="004B2700"/>
    <w:rsid w:val="004B2732"/>
    <w:rsid w:val="004B2B76"/>
    <w:rsid w:val="004C17B4"/>
    <w:rsid w:val="004C3FED"/>
    <w:rsid w:val="004C53AE"/>
    <w:rsid w:val="004C683E"/>
    <w:rsid w:val="004C7C06"/>
    <w:rsid w:val="004D192C"/>
    <w:rsid w:val="004D435E"/>
    <w:rsid w:val="004D4769"/>
    <w:rsid w:val="004D7B22"/>
    <w:rsid w:val="004E1438"/>
    <w:rsid w:val="004E1DFC"/>
    <w:rsid w:val="004E2D25"/>
    <w:rsid w:val="004F01D2"/>
    <w:rsid w:val="004F17D0"/>
    <w:rsid w:val="004F1B73"/>
    <w:rsid w:val="004F50D8"/>
    <w:rsid w:val="0050121F"/>
    <w:rsid w:val="00512323"/>
    <w:rsid w:val="0051451F"/>
    <w:rsid w:val="005169C3"/>
    <w:rsid w:val="005207EB"/>
    <w:rsid w:val="00522759"/>
    <w:rsid w:val="00522BD6"/>
    <w:rsid w:val="00524808"/>
    <w:rsid w:val="005255E5"/>
    <w:rsid w:val="0052605E"/>
    <w:rsid w:val="00527A3B"/>
    <w:rsid w:val="00532EA5"/>
    <w:rsid w:val="00536B65"/>
    <w:rsid w:val="00537102"/>
    <w:rsid w:val="00540E0F"/>
    <w:rsid w:val="005412C9"/>
    <w:rsid w:val="00541F5A"/>
    <w:rsid w:val="005427CB"/>
    <w:rsid w:val="005463FC"/>
    <w:rsid w:val="00551875"/>
    <w:rsid w:val="00551DAF"/>
    <w:rsid w:val="00551FCD"/>
    <w:rsid w:val="00552531"/>
    <w:rsid w:val="00552AF3"/>
    <w:rsid w:val="00556471"/>
    <w:rsid w:val="005565F6"/>
    <w:rsid w:val="00561679"/>
    <w:rsid w:val="00562C62"/>
    <w:rsid w:val="00562F77"/>
    <w:rsid w:val="00564520"/>
    <w:rsid w:val="00564AE7"/>
    <w:rsid w:val="00564EB6"/>
    <w:rsid w:val="005671F5"/>
    <w:rsid w:val="005673F6"/>
    <w:rsid w:val="00572042"/>
    <w:rsid w:val="005722AF"/>
    <w:rsid w:val="005744F2"/>
    <w:rsid w:val="005765A1"/>
    <w:rsid w:val="0057677D"/>
    <w:rsid w:val="00581C58"/>
    <w:rsid w:val="00581DFE"/>
    <w:rsid w:val="005824F7"/>
    <w:rsid w:val="005825E6"/>
    <w:rsid w:val="00587887"/>
    <w:rsid w:val="00587B2E"/>
    <w:rsid w:val="0059098F"/>
    <w:rsid w:val="0059148B"/>
    <w:rsid w:val="00593432"/>
    <w:rsid w:val="005A1889"/>
    <w:rsid w:val="005A2992"/>
    <w:rsid w:val="005A3914"/>
    <w:rsid w:val="005A4525"/>
    <w:rsid w:val="005A6BA8"/>
    <w:rsid w:val="005A75A8"/>
    <w:rsid w:val="005A7B3F"/>
    <w:rsid w:val="005A7ED6"/>
    <w:rsid w:val="005B1FD5"/>
    <w:rsid w:val="005B4764"/>
    <w:rsid w:val="005B5150"/>
    <w:rsid w:val="005B59A0"/>
    <w:rsid w:val="005C50AF"/>
    <w:rsid w:val="005C5214"/>
    <w:rsid w:val="005C60CC"/>
    <w:rsid w:val="005C66FA"/>
    <w:rsid w:val="005C72A7"/>
    <w:rsid w:val="005D45B6"/>
    <w:rsid w:val="005D6D75"/>
    <w:rsid w:val="005D6DF4"/>
    <w:rsid w:val="005E1D49"/>
    <w:rsid w:val="005E37A5"/>
    <w:rsid w:val="005E406F"/>
    <w:rsid w:val="005E5798"/>
    <w:rsid w:val="005E5D9C"/>
    <w:rsid w:val="005E6F25"/>
    <w:rsid w:val="005F0543"/>
    <w:rsid w:val="005F060F"/>
    <w:rsid w:val="005F4142"/>
    <w:rsid w:val="005F6CB7"/>
    <w:rsid w:val="006006D0"/>
    <w:rsid w:val="00600C72"/>
    <w:rsid w:val="00600E12"/>
    <w:rsid w:val="00610EF2"/>
    <w:rsid w:val="00611556"/>
    <w:rsid w:val="0061181B"/>
    <w:rsid w:val="00613410"/>
    <w:rsid w:val="00616B99"/>
    <w:rsid w:val="0061773D"/>
    <w:rsid w:val="00617AC9"/>
    <w:rsid w:val="0062100A"/>
    <w:rsid w:val="00621089"/>
    <w:rsid w:val="006223D3"/>
    <w:rsid w:val="00623E79"/>
    <w:rsid w:val="0062511D"/>
    <w:rsid w:val="00627829"/>
    <w:rsid w:val="006301F0"/>
    <w:rsid w:val="0063177D"/>
    <w:rsid w:val="00635783"/>
    <w:rsid w:val="00640BF4"/>
    <w:rsid w:val="00643E56"/>
    <w:rsid w:val="00644C0A"/>
    <w:rsid w:val="00645EFA"/>
    <w:rsid w:val="00647EBD"/>
    <w:rsid w:val="0065003D"/>
    <w:rsid w:val="0065110F"/>
    <w:rsid w:val="0065511D"/>
    <w:rsid w:val="00657C01"/>
    <w:rsid w:val="0066136E"/>
    <w:rsid w:val="00662851"/>
    <w:rsid w:val="00662E54"/>
    <w:rsid w:val="00663DC5"/>
    <w:rsid w:val="00664011"/>
    <w:rsid w:val="006644D7"/>
    <w:rsid w:val="00666E2B"/>
    <w:rsid w:val="00666F52"/>
    <w:rsid w:val="00670847"/>
    <w:rsid w:val="00670E3C"/>
    <w:rsid w:val="0067170A"/>
    <w:rsid w:val="006764DF"/>
    <w:rsid w:val="00681563"/>
    <w:rsid w:val="006849C5"/>
    <w:rsid w:val="00685FF0"/>
    <w:rsid w:val="00686AA7"/>
    <w:rsid w:val="00687E34"/>
    <w:rsid w:val="00690BA6"/>
    <w:rsid w:val="006918BC"/>
    <w:rsid w:val="00691F01"/>
    <w:rsid w:val="00694AA5"/>
    <w:rsid w:val="00695F7C"/>
    <w:rsid w:val="00696FDA"/>
    <w:rsid w:val="00697AED"/>
    <w:rsid w:val="006A0813"/>
    <w:rsid w:val="006A1652"/>
    <w:rsid w:val="006A1B1D"/>
    <w:rsid w:val="006A2AD8"/>
    <w:rsid w:val="006A3A3C"/>
    <w:rsid w:val="006A6B6E"/>
    <w:rsid w:val="006A7484"/>
    <w:rsid w:val="006B16C8"/>
    <w:rsid w:val="006B16E0"/>
    <w:rsid w:val="006B18F2"/>
    <w:rsid w:val="006B4B64"/>
    <w:rsid w:val="006B6A7E"/>
    <w:rsid w:val="006B79F0"/>
    <w:rsid w:val="006C08F9"/>
    <w:rsid w:val="006C09CC"/>
    <w:rsid w:val="006D0E3F"/>
    <w:rsid w:val="006D22A7"/>
    <w:rsid w:val="006D3D30"/>
    <w:rsid w:val="006D4F9A"/>
    <w:rsid w:val="006D5BB9"/>
    <w:rsid w:val="006E3172"/>
    <w:rsid w:val="006E35C7"/>
    <w:rsid w:val="006E5A5D"/>
    <w:rsid w:val="006E61F7"/>
    <w:rsid w:val="006E68EC"/>
    <w:rsid w:val="006E6D30"/>
    <w:rsid w:val="006E6EED"/>
    <w:rsid w:val="006F63AF"/>
    <w:rsid w:val="00702D50"/>
    <w:rsid w:val="00702D59"/>
    <w:rsid w:val="0070344D"/>
    <w:rsid w:val="0070396B"/>
    <w:rsid w:val="00703E3D"/>
    <w:rsid w:val="00704919"/>
    <w:rsid w:val="00705BAF"/>
    <w:rsid w:val="00706562"/>
    <w:rsid w:val="00710000"/>
    <w:rsid w:val="00715D22"/>
    <w:rsid w:val="00716BA4"/>
    <w:rsid w:val="007239B0"/>
    <w:rsid w:val="00724E02"/>
    <w:rsid w:val="00724F5C"/>
    <w:rsid w:val="007253C4"/>
    <w:rsid w:val="0072570D"/>
    <w:rsid w:val="00725B9A"/>
    <w:rsid w:val="0073220F"/>
    <w:rsid w:val="00734E22"/>
    <w:rsid w:val="00737180"/>
    <w:rsid w:val="00737AED"/>
    <w:rsid w:val="0074004D"/>
    <w:rsid w:val="007429F1"/>
    <w:rsid w:val="00743E83"/>
    <w:rsid w:val="00743FBF"/>
    <w:rsid w:val="00744AB5"/>
    <w:rsid w:val="00745362"/>
    <w:rsid w:val="00751A5C"/>
    <w:rsid w:val="00752071"/>
    <w:rsid w:val="00753A35"/>
    <w:rsid w:val="0075403A"/>
    <w:rsid w:val="00755E52"/>
    <w:rsid w:val="007576E1"/>
    <w:rsid w:val="007624BA"/>
    <w:rsid w:val="00762BE3"/>
    <w:rsid w:val="007639DB"/>
    <w:rsid w:val="00763BBA"/>
    <w:rsid w:val="007648CD"/>
    <w:rsid w:val="00766D5C"/>
    <w:rsid w:val="00767584"/>
    <w:rsid w:val="0077285E"/>
    <w:rsid w:val="0077365E"/>
    <w:rsid w:val="007748E3"/>
    <w:rsid w:val="00777400"/>
    <w:rsid w:val="00780416"/>
    <w:rsid w:val="007814AB"/>
    <w:rsid w:val="00781C8D"/>
    <w:rsid w:val="00790B61"/>
    <w:rsid w:val="00791447"/>
    <w:rsid w:val="00791621"/>
    <w:rsid w:val="00792202"/>
    <w:rsid w:val="00792B28"/>
    <w:rsid w:val="00793820"/>
    <w:rsid w:val="00794108"/>
    <w:rsid w:val="00794398"/>
    <w:rsid w:val="0079484A"/>
    <w:rsid w:val="007A0089"/>
    <w:rsid w:val="007A1CEF"/>
    <w:rsid w:val="007A1F16"/>
    <w:rsid w:val="007A3D77"/>
    <w:rsid w:val="007B0110"/>
    <w:rsid w:val="007B6CFC"/>
    <w:rsid w:val="007C1B7B"/>
    <w:rsid w:val="007C1BEF"/>
    <w:rsid w:val="007C20BC"/>
    <w:rsid w:val="007C2F96"/>
    <w:rsid w:val="007C3B41"/>
    <w:rsid w:val="007C4AB7"/>
    <w:rsid w:val="007C4E51"/>
    <w:rsid w:val="007C5AD3"/>
    <w:rsid w:val="007C6262"/>
    <w:rsid w:val="007D2068"/>
    <w:rsid w:val="007D249B"/>
    <w:rsid w:val="007D350B"/>
    <w:rsid w:val="007D3941"/>
    <w:rsid w:val="007D3958"/>
    <w:rsid w:val="007D425C"/>
    <w:rsid w:val="007D4279"/>
    <w:rsid w:val="007E163A"/>
    <w:rsid w:val="007E3882"/>
    <w:rsid w:val="007E3ADE"/>
    <w:rsid w:val="007E5051"/>
    <w:rsid w:val="007F4569"/>
    <w:rsid w:val="007F4DB3"/>
    <w:rsid w:val="007F64FC"/>
    <w:rsid w:val="008010AC"/>
    <w:rsid w:val="0080123D"/>
    <w:rsid w:val="0080229B"/>
    <w:rsid w:val="00802F29"/>
    <w:rsid w:val="00805548"/>
    <w:rsid w:val="00805F49"/>
    <w:rsid w:val="00810AB3"/>
    <w:rsid w:val="00810D9A"/>
    <w:rsid w:val="008116C9"/>
    <w:rsid w:val="0081253E"/>
    <w:rsid w:val="00816153"/>
    <w:rsid w:val="008248CF"/>
    <w:rsid w:val="00824DA6"/>
    <w:rsid w:val="00825FF7"/>
    <w:rsid w:val="00830D72"/>
    <w:rsid w:val="008312BA"/>
    <w:rsid w:val="00832023"/>
    <w:rsid w:val="00834DEF"/>
    <w:rsid w:val="0083738B"/>
    <w:rsid w:val="00841987"/>
    <w:rsid w:val="00841C06"/>
    <w:rsid w:val="008420E9"/>
    <w:rsid w:val="00843AF2"/>
    <w:rsid w:val="00844352"/>
    <w:rsid w:val="00846C17"/>
    <w:rsid w:val="00847128"/>
    <w:rsid w:val="00850A07"/>
    <w:rsid w:val="00851225"/>
    <w:rsid w:val="00852154"/>
    <w:rsid w:val="00852A92"/>
    <w:rsid w:val="00855A21"/>
    <w:rsid w:val="00857600"/>
    <w:rsid w:val="00861CAB"/>
    <w:rsid w:val="008624B7"/>
    <w:rsid w:val="008634C2"/>
    <w:rsid w:val="00864737"/>
    <w:rsid w:val="008648DD"/>
    <w:rsid w:val="00864B46"/>
    <w:rsid w:val="00864EB1"/>
    <w:rsid w:val="00865A8D"/>
    <w:rsid w:val="00867B61"/>
    <w:rsid w:val="00872945"/>
    <w:rsid w:val="008729BE"/>
    <w:rsid w:val="00873A22"/>
    <w:rsid w:val="0087509B"/>
    <w:rsid w:val="00876412"/>
    <w:rsid w:val="00880124"/>
    <w:rsid w:val="00882523"/>
    <w:rsid w:val="008858C6"/>
    <w:rsid w:val="0088717C"/>
    <w:rsid w:val="00887717"/>
    <w:rsid w:val="00891D50"/>
    <w:rsid w:val="00893E0D"/>
    <w:rsid w:val="00895091"/>
    <w:rsid w:val="00896E30"/>
    <w:rsid w:val="00897332"/>
    <w:rsid w:val="008A019E"/>
    <w:rsid w:val="008A0CE9"/>
    <w:rsid w:val="008A1719"/>
    <w:rsid w:val="008A4FC9"/>
    <w:rsid w:val="008A6699"/>
    <w:rsid w:val="008A71EF"/>
    <w:rsid w:val="008B0FCB"/>
    <w:rsid w:val="008B19C7"/>
    <w:rsid w:val="008B24E2"/>
    <w:rsid w:val="008B37AB"/>
    <w:rsid w:val="008B59A7"/>
    <w:rsid w:val="008B773D"/>
    <w:rsid w:val="008C167C"/>
    <w:rsid w:val="008C2649"/>
    <w:rsid w:val="008C4EAC"/>
    <w:rsid w:val="008C58B3"/>
    <w:rsid w:val="008C6EBB"/>
    <w:rsid w:val="008D2912"/>
    <w:rsid w:val="008D3ECF"/>
    <w:rsid w:val="008D4F9D"/>
    <w:rsid w:val="008D563A"/>
    <w:rsid w:val="008D79A1"/>
    <w:rsid w:val="008E148C"/>
    <w:rsid w:val="008E6420"/>
    <w:rsid w:val="008E67C8"/>
    <w:rsid w:val="008E7C69"/>
    <w:rsid w:val="008F181E"/>
    <w:rsid w:val="008F2004"/>
    <w:rsid w:val="008F22E8"/>
    <w:rsid w:val="008F4B9C"/>
    <w:rsid w:val="008F5D46"/>
    <w:rsid w:val="008F6BC9"/>
    <w:rsid w:val="008F6DDA"/>
    <w:rsid w:val="0090138B"/>
    <w:rsid w:val="009018DC"/>
    <w:rsid w:val="009077C2"/>
    <w:rsid w:val="00907989"/>
    <w:rsid w:val="0091245B"/>
    <w:rsid w:val="00914F96"/>
    <w:rsid w:val="0092138D"/>
    <w:rsid w:val="0092157C"/>
    <w:rsid w:val="00922F5B"/>
    <w:rsid w:val="00924072"/>
    <w:rsid w:val="00927254"/>
    <w:rsid w:val="00927382"/>
    <w:rsid w:val="0093222B"/>
    <w:rsid w:val="0093436B"/>
    <w:rsid w:val="00934E8C"/>
    <w:rsid w:val="00937715"/>
    <w:rsid w:val="00941EB3"/>
    <w:rsid w:val="00944F3B"/>
    <w:rsid w:val="00952B9D"/>
    <w:rsid w:val="00954994"/>
    <w:rsid w:val="00954E56"/>
    <w:rsid w:val="00956FAE"/>
    <w:rsid w:val="009578DE"/>
    <w:rsid w:val="009603D0"/>
    <w:rsid w:val="00960D10"/>
    <w:rsid w:val="0096231D"/>
    <w:rsid w:val="0096443A"/>
    <w:rsid w:val="00964E4D"/>
    <w:rsid w:val="00965B9B"/>
    <w:rsid w:val="009664CB"/>
    <w:rsid w:val="00970524"/>
    <w:rsid w:val="00972DA9"/>
    <w:rsid w:val="0097434C"/>
    <w:rsid w:val="00984560"/>
    <w:rsid w:val="00984CBE"/>
    <w:rsid w:val="009851A5"/>
    <w:rsid w:val="009864AF"/>
    <w:rsid w:val="00993F9B"/>
    <w:rsid w:val="00995DE4"/>
    <w:rsid w:val="009965B4"/>
    <w:rsid w:val="009A06CC"/>
    <w:rsid w:val="009A1E55"/>
    <w:rsid w:val="009A237E"/>
    <w:rsid w:val="009A313E"/>
    <w:rsid w:val="009A4108"/>
    <w:rsid w:val="009A4CA2"/>
    <w:rsid w:val="009A79E8"/>
    <w:rsid w:val="009B0056"/>
    <w:rsid w:val="009B28D0"/>
    <w:rsid w:val="009B38EF"/>
    <w:rsid w:val="009B3D63"/>
    <w:rsid w:val="009B6028"/>
    <w:rsid w:val="009B62EA"/>
    <w:rsid w:val="009B781D"/>
    <w:rsid w:val="009B7F71"/>
    <w:rsid w:val="009C0AC6"/>
    <w:rsid w:val="009C1AE6"/>
    <w:rsid w:val="009C36E6"/>
    <w:rsid w:val="009C5545"/>
    <w:rsid w:val="009C5B64"/>
    <w:rsid w:val="009C6770"/>
    <w:rsid w:val="009C6FD2"/>
    <w:rsid w:val="009C70C0"/>
    <w:rsid w:val="009C748F"/>
    <w:rsid w:val="009C7DCC"/>
    <w:rsid w:val="009D2C92"/>
    <w:rsid w:val="009D4D3E"/>
    <w:rsid w:val="009D552E"/>
    <w:rsid w:val="009D6F10"/>
    <w:rsid w:val="009E044C"/>
    <w:rsid w:val="009E3321"/>
    <w:rsid w:val="009E3578"/>
    <w:rsid w:val="009E4424"/>
    <w:rsid w:val="009E62A5"/>
    <w:rsid w:val="009F49DB"/>
    <w:rsid w:val="009F6C20"/>
    <w:rsid w:val="00A0133D"/>
    <w:rsid w:val="00A03B32"/>
    <w:rsid w:val="00A04B8F"/>
    <w:rsid w:val="00A071B2"/>
    <w:rsid w:val="00A15A73"/>
    <w:rsid w:val="00A16CF7"/>
    <w:rsid w:val="00A17182"/>
    <w:rsid w:val="00A1798C"/>
    <w:rsid w:val="00A17E24"/>
    <w:rsid w:val="00A21847"/>
    <w:rsid w:val="00A22236"/>
    <w:rsid w:val="00A22C34"/>
    <w:rsid w:val="00A24BF3"/>
    <w:rsid w:val="00A2558B"/>
    <w:rsid w:val="00A2675F"/>
    <w:rsid w:val="00A305F1"/>
    <w:rsid w:val="00A31388"/>
    <w:rsid w:val="00A313E7"/>
    <w:rsid w:val="00A322E3"/>
    <w:rsid w:val="00A3366F"/>
    <w:rsid w:val="00A3416E"/>
    <w:rsid w:val="00A34A36"/>
    <w:rsid w:val="00A356D0"/>
    <w:rsid w:val="00A35879"/>
    <w:rsid w:val="00A427DA"/>
    <w:rsid w:val="00A44C32"/>
    <w:rsid w:val="00A45D01"/>
    <w:rsid w:val="00A4648D"/>
    <w:rsid w:val="00A46F50"/>
    <w:rsid w:val="00A47ECE"/>
    <w:rsid w:val="00A51C51"/>
    <w:rsid w:val="00A51E89"/>
    <w:rsid w:val="00A5337C"/>
    <w:rsid w:val="00A54639"/>
    <w:rsid w:val="00A63BEE"/>
    <w:rsid w:val="00A661B8"/>
    <w:rsid w:val="00A721AD"/>
    <w:rsid w:val="00A75126"/>
    <w:rsid w:val="00A765D0"/>
    <w:rsid w:val="00A80041"/>
    <w:rsid w:val="00A820CC"/>
    <w:rsid w:val="00A8300F"/>
    <w:rsid w:val="00A844AE"/>
    <w:rsid w:val="00A8450C"/>
    <w:rsid w:val="00A915BA"/>
    <w:rsid w:val="00A93D32"/>
    <w:rsid w:val="00A95356"/>
    <w:rsid w:val="00AA08FF"/>
    <w:rsid w:val="00AA59C3"/>
    <w:rsid w:val="00AA5C4A"/>
    <w:rsid w:val="00AA745C"/>
    <w:rsid w:val="00AB25FB"/>
    <w:rsid w:val="00AB5676"/>
    <w:rsid w:val="00AB655B"/>
    <w:rsid w:val="00AB7CC7"/>
    <w:rsid w:val="00AC27BC"/>
    <w:rsid w:val="00AC3A1D"/>
    <w:rsid w:val="00AC5F59"/>
    <w:rsid w:val="00AC7B48"/>
    <w:rsid w:val="00AD10F6"/>
    <w:rsid w:val="00AD162A"/>
    <w:rsid w:val="00AD4C3A"/>
    <w:rsid w:val="00AD6D8F"/>
    <w:rsid w:val="00AE0C01"/>
    <w:rsid w:val="00AE3AFD"/>
    <w:rsid w:val="00AE4843"/>
    <w:rsid w:val="00AE546C"/>
    <w:rsid w:val="00AF053E"/>
    <w:rsid w:val="00AF1669"/>
    <w:rsid w:val="00AF6569"/>
    <w:rsid w:val="00B01476"/>
    <w:rsid w:val="00B04DF9"/>
    <w:rsid w:val="00B05FCA"/>
    <w:rsid w:val="00B07805"/>
    <w:rsid w:val="00B07C35"/>
    <w:rsid w:val="00B10907"/>
    <w:rsid w:val="00B1095C"/>
    <w:rsid w:val="00B13474"/>
    <w:rsid w:val="00B13775"/>
    <w:rsid w:val="00B14562"/>
    <w:rsid w:val="00B15090"/>
    <w:rsid w:val="00B211CE"/>
    <w:rsid w:val="00B21FCD"/>
    <w:rsid w:val="00B258F2"/>
    <w:rsid w:val="00B25983"/>
    <w:rsid w:val="00B268AE"/>
    <w:rsid w:val="00B309F6"/>
    <w:rsid w:val="00B31443"/>
    <w:rsid w:val="00B323B5"/>
    <w:rsid w:val="00B33D23"/>
    <w:rsid w:val="00B354A1"/>
    <w:rsid w:val="00B37204"/>
    <w:rsid w:val="00B40D4D"/>
    <w:rsid w:val="00B41C44"/>
    <w:rsid w:val="00B43667"/>
    <w:rsid w:val="00B43EAD"/>
    <w:rsid w:val="00B44C1F"/>
    <w:rsid w:val="00B458A4"/>
    <w:rsid w:val="00B45A60"/>
    <w:rsid w:val="00B46196"/>
    <w:rsid w:val="00B46812"/>
    <w:rsid w:val="00B507FA"/>
    <w:rsid w:val="00B55723"/>
    <w:rsid w:val="00B55C3C"/>
    <w:rsid w:val="00B55CF2"/>
    <w:rsid w:val="00B57328"/>
    <w:rsid w:val="00B57BA4"/>
    <w:rsid w:val="00B57CB7"/>
    <w:rsid w:val="00B67F02"/>
    <w:rsid w:val="00B7221A"/>
    <w:rsid w:val="00B72442"/>
    <w:rsid w:val="00B73C84"/>
    <w:rsid w:val="00B75075"/>
    <w:rsid w:val="00B76487"/>
    <w:rsid w:val="00B81124"/>
    <w:rsid w:val="00B81D6C"/>
    <w:rsid w:val="00B82131"/>
    <w:rsid w:val="00B83108"/>
    <w:rsid w:val="00B84A2D"/>
    <w:rsid w:val="00B85098"/>
    <w:rsid w:val="00B853CB"/>
    <w:rsid w:val="00B91A18"/>
    <w:rsid w:val="00B933E5"/>
    <w:rsid w:val="00B95569"/>
    <w:rsid w:val="00BA08E7"/>
    <w:rsid w:val="00BA20F9"/>
    <w:rsid w:val="00BA2819"/>
    <w:rsid w:val="00BA3174"/>
    <w:rsid w:val="00BA40B1"/>
    <w:rsid w:val="00BA5972"/>
    <w:rsid w:val="00BA6965"/>
    <w:rsid w:val="00BB0ACF"/>
    <w:rsid w:val="00BC16CA"/>
    <w:rsid w:val="00BC2C44"/>
    <w:rsid w:val="00BC40D5"/>
    <w:rsid w:val="00BC43E2"/>
    <w:rsid w:val="00BC5F81"/>
    <w:rsid w:val="00BC67E5"/>
    <w:rsid w:val="00BD0462"/>
    <w:rsid w:val="00BE286D"/>
    <w:rsid w:val="00BE410D"/>
    <w:rsid w:val="00BE4239"/>
    <w:rsid w:val="00BE43AD"/>
    <w:rsid w:val="00BE7038"/>
    <w:rsid w:val="00BE72AA"/>
    <w:rsid w:val="00BE73B0"/>
    <w:rsid w:val="00BE7B94"/>
    <w:rsid w:val="00BF0D5E"/>
    <w:rsid w:val="00BF769D"/>
    <w:rsid w:val="00BF79BA"/>
    <w:rsid w:val="00BF7E28"/>
    <w:rsid w:val="00C036BF"/>
    <w:rsid w:val="00C03DA4"/>
    <w:rsid w:val="00C053CE"/>
    <w:rsid w:val="00C05661"/>
    <w:rsid w:val="00C1096E"/>
    <w:rsid w:val="00C12EE3"/>
    <w:rsid w:val="00C13E7C"/>
    <w:rsid w:val="00C144BD"/>
    <w:rsid w:val="00C14737"/>
    <w:rsid w:val="00C14AB1"/>
    <w:rsid w:val="00C20E97"/>
    <w:rsid w:val="00C2105F"/>
    <w:rsid w:val="00C219F3"/>
    <w:rsid w:val="00C233C4"/>
    <w:rsid w:val="00C23566"/>
    <w:rsid w:val="00C23DC5"/>
    <w:rsid w:val="00C26A11"/>
    <w:rsid w:val="00C30C3C"/>
    <w:rsid w:val="00C315BE"/>
    <w:rsid w:val="00C32BCC"/>
    <w:rsid w:val="00C33085"/>
    <w:rsid w:val="00C3464F"/>
    <w:rsid w:val="00C36414"/>
    <w:rsid w:val="00C40015"/>
    <w:rsid w:val="00C41AE5"/>
    <w:rsid w:val="00C447D6"/>
    <w:rsid w:val="00C45840"/>
    <w:rsid w:val="00C46469"/>
    <w:rsid w:val="00C46F90"/>
    <w:rsid w:val="00C5173E"/>
    <w:rsid w:val="00C5240C"/>
    <w:rsid w:val="00C56B4D"/>
    <w:rsid w:val="00C56C9F"/>
    <w:rsid w:val="00C601D6"/>
    <w:rsid w:val="00C6080B"/>
    <w:rsid w:val="00C61220"/>
    <w:rsid w:val="00C6171D"/>
    <w:rsid w:val="00C638D4"/>
    <w:rsid w:val="00C655B2"/>
    <w:rsid w:val="00C67034"/>
    <w:rsid w:val="00C677EE"/>
    <w:rsid w:val="00C67968"/>
    <w:rsid w:val="00C71576"/>
    <w:rsid w:val="00C715D3"/>
    <w:rsid w:val="00C72525"/>
    <w:rsid w:val="00C733DA"/>
    <w:rsid w:val="00C734D9"/>
    <w:rsid w:val="00C7534C"/>
    <w:rsid w:val="00C77D62"/>
    <w:rsid w:val="00C80E43"/>
    <w:rsid w:val="00C835AE"/>
    <w:rsid w:val="00C83C87"/>
    <w:rsid w:val="00C86BA3"/>
    <w:rsid w:val="00C86D4F"/>
    <w:rsid w:val="00C875EC"/>
    <w:rsid w:val="00C919C6"/>
    <w:rsid w:val="00C951A9"/>
    <w:rsid w:val="00C95795"/>
    <w:rsid w:val="00C95BF7"/>
    <w:rsid w:val="00C95FF9"/>
    <w:rsid w:val="00C961B0"/>
    <w:rsid w:val="00CA0E35"/>
    <w:rsid w:val="00CA1260"/>
    <w:rsid w:val="00CA2C5E"/>
    <w:rsid w:val="00CA3559"/>
    <w:rsid w:val="00CA3924"/>
    <w:rsid w:val="00CA56B9"/>
    <w:rsid w:val="00CA5941"/>
    <w:rsid w:val="00CB1FFB"/>
    <w:rsid w:val="00CB5D6F"/>
    <w:rsid w:val="00CB7F81"/>
    <w:rsid w:val="00CC210C"/>
    <w:rsid w:val="00CC2CBB"/>
    <w:rsid w:val="00CC3750"/>
    <w:rsid w:val="00CC517F"/>
    <w:rsid w:val="00CC5529"/>
    <w:rsid w:val="00CC63BD"/>
    <w:rsid w:val="00CD227D"/>
    <w:rsid w:val="00CD2B3F"/>
    <w:rsid w:val="00CE42E4"/>
    <w:rsid w:val="00CE4849"/>
    <w:rsid w:val="00CE6570"/>
    <w:rsid w:val="00CE6A76"/>
    <w:rsid w:val="00CE7385"/>
    <w:rsid w:val="00CF1A24"/>
    <w:rsid w:val="00CF2362"/>
    <w:rsid w:val="00CF2F36"/>
    <w:rsid w:val="00CF3A0A"/>
    <w:rsid w:val="00CF51F0"/>
    <w:rsid w:val="00CF6FD4"/>
    <w:rsid w:val="00D01829"/>
    <w:rsid w:val="00D01AA4"/>
    <w:rsid w:val="00D02544"/>
    <w:rsid w:val="00D05132"/>
    <w:rsid w:val="00D0580B"/>
    <w:rsid w:val="00D05879"/>
    <w:rsid w:val="00D0591B"/>
    <w:rsid w:val="00D06F0A"/>
    <w:rsid w:val="00D11A2E"/>
    <w:rsid w:val="00D11FA9"/>
    <w:rsid w:val="00D1333D"/>
    <w:rsid w:val="00D13567"/>
    <w:rsid w:val="00D13B82"/>
    <w:rsid w:val="00D13EE8"/>
    <w:rsid w:val="00D1457D"/>
    <w:rsid w:val="00D16F3C"/>
    <w:rsid w:val="00D179A6"/>
    <w:rsid w:val="00D17E47"/>
    <w:rsid w:val="00D20AC8"/>
    <w:rsid w:val="00D231A6"/>
    <w:rsid w:val="00D251FD"/>
    <w:rsid w:val="00D2767B"/>
    <w:rsid w:val="00D32D15"/>
    <w:rsid w:val="00D33887"/>
    <w:rsid w:val="00D3400D"/>
    <w:rsid w:val="00D363BC"/>
    <w:rsid w:val="00D40299"/>
    <w:rsid w:val="00D450A8"/>
    <w:rsid w:val="00D5046A"/>
    <w:rsid w:val="00D505A3"/>
    <w:rsid w:val="00D50756"/>
    <w:rsid w:val="00D5095F"/>
    <w:rsid w:val="00D558B1"/>
    <w:rsid w:val="00D5785A"/>
    <w:rsid w:val="00D57936"/>
    <w:rsid w:val="00D61593"/>
    <w:rsid w:val="00D64333"/>
    <w:rsid w:val="00D6474C"/>
    <w:rsid w:val="00D64A4E"/>
    <w:rsid w:val="00D65A3D"/>
    <w:rsid w:val="00D74CC0"/>
    <w:rsid w:val="00D80111"/>
    <w:rsid w:val="00D80B0E"/>
    <w:rsid w:val="00D8422F"/>
    <w:rsid w:val="00D87D6C"/>
    <w:rsid w:val="00D90DA0"/>
    <w:rsid w:val="00D91282"/>
    <w:rsid w:val="00D91CF1"/>
    <w:rsid w:val="00D93403"/>
    <w:rsid w:val="00D937C2"/>
    <w:rsid w:val="00D96464"/>
    <w:rsid w:val="00D97AB5"/>
    <w:rsid w:val="00DA1A65"/>
    <w:rsid w:val="00DA22EB"/>
    <w:rsid w:val="00DA670A"/>
    <w:rsid w:val="00DB1120"/>
    <w:rsid w:val="00DB2074"/>
    <w:rsid w:val="00DB20FE"/>
    <w:rsid w:val="00DB39EB"/>
    <w:rsid w:val="00DB4268"/>
    <w:rsid w:val="00DB4F87"/>
    <w:rsid w:val="00DB565C"/>
    <w:rsid w:val="00DB6097"/>
    <w:rsid w:val="00DB7F15"/>
    <w:rsid w:val="00DC35E9"/>
    <w:rsid w:val="00DC54C6"/>
    <w:rsid w:val="00DC724D"/>
    <w:rsid w:val="00DD08A7"/>
    <w:rsid w:val="00DD67FF"/>
    <w:rsid w:val="00DD7272"/>
    <w:rsid w:val="00DD7D5D"/>
    <w:rsid w:val="00DE02FB"/>
    <w:rsid w:val="00DE2D7A"/>
    <w:rsid w:val="00DE5150"/>
    <w:rsid w:val="00DE7264"/>
    <w:rsid w:val="00DF1736"/>
    <w:rsid w:val="00DF2943"/>
    <w:rsid w:val="00DF3525"/>
    <w:rsid w:val="00DF5B69"/>
    <w:rsid w:val="00DF769F"/>
    <w:rsid w:val="00E02CFE"/>
    <w:rsid w:val="00E0553D"/>
    <w:rsid w:val="00E074AE"/>
    <w:rsid w:val="00E14BA3"/>
    <w:rsid w:val="00E1576B"/>
    <w:rsid w:val="00E20659"/>
    <w:rsid w:val="00E22FB3"/>
    <w:rsid w:val="00E2369F"/>
    <w:rsid w:val="00E238B7"/>
    <w:rsid w:val="00E23FD2"/>
    <w:rsid w:val="00E26081"/>
    <w:rsid w:val="00E26E57"/>
    <w:rsid w:val="00E2798E"/>
    <w:rsid w:val="00E30B7E"/>
    <w:rsid w:val="00E368D3"/>
    <w:rsid w:val="00E41864"/>
    <w:rsid w:val="00E41ADA"/>
    <w:rsid w:val="00E423C3"/>
    <w:rsid w:val="00E43970"/>
    <w:rsid w:val="00E445AF"/>
    <w:rsid w:val="00E4717C"/>
    <w:rsid w:val="00E51474"/>
    <w:rsid w:val="00E51630"/>
    <w:rsid w:val="00E53251"/>
    <w:rsid w:val="00E53A88"/>
    <w:rsid w:val="00E54CB2"/>
    <w:rsid w:val="00E67733"/>
    <w:rsid w:val="00E7239E"/>
    <w:rsid w:val="00E72CA8"/>
    <w:rsid w:val="00E75A1D"/>
    <w:rsid w:val="00E772DB"/>
    <w:rsid w:val="00E80B1F"/>
    <w:rsid w:val="00E817A5"/>
    <w:rsid w:val="00E8191E"/>
    <w:rsid w:val="00E90313"/>
    <w:rsid w:val="00E90746"/>
    <w:rsid w:val="00E90C49"/>
    <w:rsid w:val="00E926DE"/>
    <w:rsid w:val="00E92B46"/>
    <w:rsid w:val="00E93537"/>
    <w:rsid w:val="00EA27A3"/>
    <w:rsid w:val="00EA420D"/>
    <w:rsid w:val="00EA6ADF"/>
    <w:rsid w:val="00EB0025"/>
    <w:rsid w:val="00EB16BC"/>
    <w:rsid w:val="00EB1A71"/>
    <w:rsid w:val="00EB78FE"/>
    <w:rsid w:val="00EB7F0F"/>
    <w:rsid w:val="00EC02EF"/>
    <w:rsid w:val="00EC15EB"/>
    <w:rsid w:val="00EC2160"/>
    <w:rsid w:val="00EC5792"/>
    <w:rsid w:val="00EC70C0"/>
    <w:rsid w:val="00EC714B"/>
    <w:rsid w:val="00ED1469"/>
    <w:rsid w:val="00ED1987"/>
    <w:rsid w:val="00ED33FB"/>
    <w:rsid w:val="00ED5985"/>
    <w:rsid w:val="00ED7B03"/>
    <w:rsid w:val="00EE0078"/>
    <w:rsid w:val="00EE1CA3"/>
    <w:rsid w:val="00EE3B95"/>
    <w:rsid w:val="00EE66F3"/>
    <w:rsid w:val="00EE7950"/>
    <w:rsid w:val="00EF0843"/>
    <w:rsid w:val="00EF3E8D"/>
    <w:rsid w:val="00EF5F0D"/>
    <w:rsid w:val="00EF6A8D"/>
    <w:rsid w:val="00EF7B9F"/>
    <w:rsid w:val="00F01C28"/>
    <w:rsid w:val="00F02A51"/>
    <w:rsid w:val="00F03692"/>
    <w:rsid w:val="00F14A2C"/>
    <w:rsid w:val="00F173A7"/>
    <w:rsid w:val="00F21CCB"/>
    <w:rsid w:val="00F24394"/>
    <w:rsid w:val="00F25C2A"/>
    <w:rsid w:val="00F26A07"/>
    <w:rsid w:val="00F30BD4"/>
    <w:rsid w:val="00F31B7A"/>
    <w:rsid w:val="00F31EF9"/>
    <w:rsid w:val="00F32F21"/>
    <w:rsid w:val="00F33740"/>
    <w:rsid w:val="00F337D1"/>
    <w:rsid w:val="00F350F5"/>
    <w:rsid w:val="00F44D63"/>
    <w:rsid w:val="00F52847"/>
    <w:rsid w:val="00F5391A"/>
    <w:rsid w:val="00F54DCF"/>
    <w:rsid w:val="00F55BBB"/>
    <w:rsid w:val="00F55C85"/>
    <w:rsid w:val="00F57E8A"/>
    <w:rsid w:val="00F6072E"/>
    <w:rsid w:val="00F6223E"/>
    <w:rsid w:val="00F62AD0"/>
    <w:rsid w:val="00F65407"/>
    <w:rsid w:val="00F70F0D"/>
    <w:rsid w:val="00F735D1"/>
    <w:rsid w:val="00F7365E"/>
    <w:rsid w:val="00F73CE4"/>
    <w:rsid w:val="00F8170C"/>
    <w:rsid w:val="00F8243A"/>
    <w:rsid w:val="00F8432F"/>
    <w:rsid w:val="00F8576B"/>
    <w:rsid w:val="00F8620A"/>
    <w:rsid w:val="00F876E4"/>
    <w:rsid w:val="00F87BDD"/>
    <w:rsid w:val="00F87ECA"/>
    <w:rsid w:val="00F966D1"/>
    <w:rsid w:val="00FA0221"/>
    <w:rsid w:val="00FA1EA3"/>
    <w:rsid w:val="00FA217E"/>
    <w:rsid w:val="00FA2DEF"/>
    <w:rsid w:val="00FA47DF"/>
    <w:rsid w:val="00FA5B39"/>
    <w:rsid w:val="00FB047D"/>
    <w:rsid w:val="00FB179B"/>
    <w:rsid w:val="00FB1BD5"/>
    <w:rsid w:val="00FB2455"/>
    <w:rsid w:val="00FB2BA1"/>
    <w:rsid w:val="00FB3C9A"/>
    <w:rsid w:val="00FB467B"/>
    <w:rsid w:val="00FB485E"/>
    <w:rsid w:val="00FB640E"/>
    <w:rsid w:val="00FB6F89"/>
    <w:rsid w:val="00FC175F"/>
    <w:rsid w:val="00FC1F18"/>
    <w:rsid w:val="00FC67E1"/>
    <w:rsid w:val="00FC7485"/>
    <w:rsid w:val="00FD1141"/>
    <w:rsid w:val="00FD2CAA"/>
    <w:rsid w:val="00FD3231"/>
    <w:rsid w:val="00FD614A"/>
    <w:rsid w:val="00FD666E"/>
    <w:rsid w:val="00FE2362"/>
    <w:rsid w:val="00FE266F"/>
    <w:rsid w:val="00FE65D1"/>
    <w:rsid w:val="00FE71BF"/>
    <w:rsid w:val="00FE72C5"/>
    <w:rsid w:val="00FF19B0"/>
    <w:rsid w:val="00FF2605"/>
    <w:rsid w:val="00FF4022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36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4BBC"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color w:val="FFFFFF"/>
      <w:sz w:val="48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Arial" w:hAnsi="Arial"/>
      <w:b/>
      <w:color w:val="FFFFFF"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color w:val="00FFFF"/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color w:val="800080"/>
      <w:sz w:val="40"/>
    </w:rPr>
  </w:style>
  <w:style w:type="paragraph" w:styleId="Titolo5">
    <w:name w:val="heading 5"/>
    <w:basedOn w:val="Normale"/>
    <w:next w:val="Normale"/>
    <w:link w:val="Titolo5Carattere"/>
    <w:qFormat/>
    <w:pPr>
      <w:keepNext/>
      <w:outlineLvl w:val="4"/>
    </w:pPr>
    <w:rPr>
      <w:rFonts w:ascii="Arial" w:hAnsi="Arial"/>
      <w:b/>
      <w:color w:val="FF6600"/>
      <w:sz w:val="40"/>
    </w:rPr>
  </w:style>
  <w:style w:type="paragraph" w:styleId="Titolo6">
    <w:name w:val="heading 6"/>
    <w:basedOn w:val="Normale"/>
    <w:next w:val="Normale"/>
    <w:link w:val="Titolo6Carattere"/>
    <w:qFormat/>
    <w:pPr>
      <w:keepNext/>
      <w:outlineLvl w:val="5"/>
    </w:pPr>
    <w:rPr>
      <w:rFonts w:ascii="Arial" w:hAnsi="Arial" w:cs="Arial"/>
      <w:color w:val="000000"/>
      <w:sz w:val="4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color w:val="000000"/>
      <w:sz w:val="40"/>
    </w:rPr>
  </w:style>
  <w:style w:type="paragraph" w:styleId="Titolo8">
    <w:name w:val="heading 8"/>
    <w:basedOn w:val="Normale"/>
    <w:next w:val="Normale"/>
    <w:link w:val="Titolo8Carattere"/>
    <w:qFormat/>
    <w:pPr>
      <w:keepNext/>
      <w:outlineLvl w:val="7"/>
    </w:pPr>
    <w:rPr>
      <w:rFonts w:ascii="Arial" w:hAnsi="Arial" w:cs="Arial"/>
      <w:sz w:val="28"/>
    </w:rPr>
  </w:style>
  <w:style w:type="paragraph" w:styleId="Titolo9">
    <w:name w:val="heading 9"/>
    <w:basedOn w:val="Normale"/>
    <w:next w:val="Normale"/>
    <w:link w:val="Titolo9Carattere"/>
    <w:qFormat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left="360"/>
    </w:pPr>
    <w:rPr>
      <w:rFonts w:ascii="Arial" w:hAnsi="Arial"/>
      <w:b/>
    </w:rPr>
  </w:style>
  <w:style w:type="paragraph" w:styleId="Rientrocorpodeltesto2">
    <w:name w:val="Body Text Indent 2"/>
    <w:basedOn w:val="Normale"/>
    <w:pPr>
      <w:ind w:left="73"/>
    </w:pPr>
    <w:rPr>
      <w:rFonts w:ascii="Arial" w:hAnsi="Arial" w:cs="Arial"/>
    </w:rPr>
  </w:style>
  <w:style w:type="paragraph" w:styleId="Corpotesto">
    <w:name w:val="Body Text"/>
    <w:basedOn w:val="Normale"/>
    <w:rPr>
      <w:rFonts w:ascii="Verdana" w:hAnsi="Verdana"/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paragraph" w:styleId="Corpodeltesto2">
    <w:name w:val="Body Text 2"/>
    <w:basedOn w:val="Normale"/>
    <w:link w:val="Corpodeltesto2Carattere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paragraph" w:styleId="Rientrocorpodeltesto3">
    <w:name w:val="Body Text Indent 3"/>
    <w:basedOn w:val="Normale"/>
    <w:pPr>
      <w:tabs>
        <w:tab w:val="left" w:pos="0"/>
        <w:tab w:val="left" w:pos="135"/>
        <w:tab w:val="right" w:pos="8594"/>
      </w:tabs>
      <w:ind w:left="113"/>
      <w:jc w:val="both"/>
    </w:pPr>
    <w:rPr>
      <w:rFonts w:ascii="Verdana" w:hAnsi="Verdana"/>
      <w:iCs/>
    </w:rPr>
  </w:style>
  <w:style w:type="paragraph" w:styleId="Corpodeltesto3">
    <w:name w:val="Body Text 3"/>
    <w:basedOn w:val="Normale"/>
    <w:pPr>
      <w:tabs>
        <w:tab w:val="left" w:pos="0"/>
        <w:tab w:val="right" w:pos="8594"/>
      </w:tabs>
      <w:jc w:val="both"/>
    </w:pPr>
    <w:rPr>
      <w:b/>
      <w:bCs/>
      <w:i/>
      <w:sz w:val="21"/>
    </w:rPr>
  </w:style>
  <w:style w:type="character" w:styleId="Numeropagina">
    <w:name w:val="page number"/>
    <w:basedOn w:val="Carpredefinitoparagrafo"/>
  </w:style>
  <w:style w:type="paragraph" w:customStyle="1" w:styleId="Tabella">
    <w:name w:val="Tabella"/>
    <w:basedOn w:val="Normale"/>
    <w:next w:val="Normale"/>
    <w:rsid w:val="005412C9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5412C9"/>
    <w:rPr>
      <w:b/>
    </w:rPr>
  </w:style>
  <w:style w:type="paragraph" w:customStyle="1" w:styleId="Copertina">
    <w:name w:val="Copertina"/>
    <w:basedOn w:val="Normale"/>
    <w:link w:val="CopertinaCarattere"/>
    <w:rsid w:val="005412C9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5412C9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427670"/>
    <w:pPr>
      <w:framePr w:hSpace="141" w:wrap="around" w:vAnchor="text" w:hAnchor="margin" w:xAlign="center" w:y="175"/>
      <w:spacing w:before="60"/>
    </w:pPr>
    <w:rPr>
      <w:rFonts w:cs="Tahoma"/>
      <w:i/>
    </w:rPr>
  </w:style>
  <w:style w:type="table" w:styleId="Grigliatabella">
    <w:name w:val="Table Grid"/>
    <w:basedOn w:val="Tabellanormale"/>
    <w:rsid w:val="00BA3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semiHidden/>
    <w:rsid w:val="00EC15EB"/>
    <w:rPr>
      <w:vertAlign w:val="superscript"/>
    </w:rPr>
  </w:style>
  <w:style w:type="paragraph" w:styleId="Testofumetto">
    <w:name w:val="Balloon Text"/>
    <w:basedOn w:val="Normale"/>
    <w:semiHidden/>
    <w:rsid w:val="009D4D3E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rsid w:val="009C5545"/>
    <w:rPr>
      <w:rFonts w:ascii="Arial" w:hAnsi="Arial" w:cs="Arial"/>
      <w:sz w:val="28"/>
    </w:rPr>
  </w:style>
  <w:style w:type="character" w:customStyle="1" w:styleId="Titolo2Carattere">
    <w:name w:val="Titolo 2 Carattere"/>
    <w:link w:val="Titolo2"/>
    <w:rsid w:val="00876412"/>
    <w:rPr>
      <w:rFonts w:ascii="Arial" w:hAnsi="Arial"/>
      <w:b/>
      <w:color w:val="FFFFFF"/>
      <w:sz w:val="24"/>
    </w:rPr>
  </w:style>
  <w:style w:type="character" w:customStyle="1" w:styleId="IntestazioneCarattere">
    <w:name w:val="Intestazione Carattere"/>
    <w:link w:val="Intestazione"/>
    <w:rsid w:val="00876412"/>
  </w:style>
  <w:style w:type="character" w:customStyle="1" w:styleId="Titolo5Carattere">
    <w:name w:val="Titolo 5 Carattere"/>
    <w:link w:val="Titolo5"/>
    <w:rsid w:val="00965B9B"/>
    <w:rPr>
      <w:rFonts w:ascii="Arial" w:hAnsi="Arial"/>
      <w:b/>
      <w:color w:val="FF6600"/>
      <w:sz w:val="40"/>
    </w:rPr>
  </w:style>
  <w:style w:type="character" w:customStyle="1" w:styleId="Titolo6Carattere">
    <w:name w:val="Titolo 6 Carattere"/>
    <w:link w:val="Titolo6"/>
    <w:rsid w:val="00965B9B"/>
    <w:rPr>
      <w:rFonts w:ascii="Arial" w:hAnsi="Arial" w:cs="Arial"/>
      <w:color w:val="000000"/>
      <w:sz w:val="40"/>
    </w:rPr>
  </w:style>
  <w:style w:type="character" w:customStyle="1" w:styleId="Titolo9Carattere">
    <w:name w:val="Titolo 9 Carattere"/>
    <w:link w:val="Titolo9"/>
    <w:rsid w:val="00965B9B"/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agrafoelenco">
    <w:name w:val="List Paragraph"/>
    <w:basedOn w:val="Normale"/>
    <w:uiPriority w:val="34"/>
    <w:qFormat/>
    <w:rsid w:val="002071EC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C67E1"/>
  </w:style>
  <w:style w:type="character" w:styleId="Collegamentoipertestuale">
    <w:name w:val="Hyperlink"/>
    <w:basedOn w:val="Carpredefinitoparagrafo"/>
    <w:rsid w:val="0096443A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6443A"/>
    <w:pPr>
      <w:spacing w:before="100" w:beforeAutospacing="1" w:after="100" w:afterAutospacing="1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16BA4"/>
    <w:rPr>
      <w:rFonts w:ascii="Verdana" w:hAnsi="Verdana"/>
      <w:b/>
      <w:bCs/>
      <w:sz w:val="24"/>
    </w:rPr>
  </w:style>
  <w:style w:type="paragraph" w:customStyle="1" w:styleId="Default">
    <w:name w:val="Default"/>
    <w:rsid w:val="00A765D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imandocommento">
    <w:name w:val="annotation reference"/>
    <w:basedOn w:val="Carpredefinitoparagrafo"/>
    <w:semiHidden/>
    <w:unhideWhenUsed/>
    <w:rsid w:val="0003260B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3260B"/>
  </w:style>
  <w:style w:type="character" w:customStyle="1" w:styleId="TestocommentoCarattere">
    <w:name w:val="Testo commento Carattere"/>
    <w:basedOn w:val="Carpredefinitoparagrafo"/>
    <w:link w:val="Testocommento"/>
    <w:rsid w:val="0003260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32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3260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6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A16185-86AA-4158-A6AB-321B69BBA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5B6BB4-B95E-43A3-8E35-34A690F440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0A0B10-BAA8-4A08-9E03-AAD029B20B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63005-BF15-45A8-9A36-B3BC6CC2827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1496</Words>
  <Characters>8532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2022-10-25T11:10:00Z</dcterms:created>
  <dcterms:modified xsi:type="dcterms:W3CDTF">2022-10-25T12:00:00Z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