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59A" w:rsidRPr="00356C7E" w:rsidRDefault="0099359A" w:rsidP="0060354D">
      <w:pPr>
        <w:ind w:left="851" w:right="283"/>
        <w:jc w:val="center"/>
        <w:rPr>
          <w:b/>
          <w:sz w:val="24"/>
          <w:szCs w:val="24"/>
        </w:rPr>
      </w:pPr>
    </w:p>
    <w:p w:rsidR="00F873E5" w:rsidRPr="00E92E45" w:rsidRDefault="00B067B2" w:rsidP="0060354D">
      <w:pPr>
        <w:ind w:left="851" w:right="283"/>
        <w:jc w:val="center"/>
        <w:rPr>
          <w:rFonts w:cs="Arial"/>
          <w:b/>
        </w:rPr>
      </w:pPr>
      <w:r w:rsidRPr="00E92E45">
        <w:rPr>
          <w:rFonts w:cs="Arial"/>
          <w:b/>
        </w:rPr>
        <w:t>COMUNICATO STAMPA</w:t>
      </w:r>
      <w:r w:rsidR="00F873E5" w:rsidRPr="00E92E45">
        <w:rPr>
          <w:rFonts w:cs="Arial"/>
          <w:b/>
        </w:rPr>
        <w:t xml:space="preserve"> </w:t>
      </w:r>
    </w:p>
    <w:p w:rsidR="00EB67D9" w:rsidRPr="00E92E45" w:rsidRDefault="00EB67D9" w:rsidP="0060354D">
      <w:pPr>
        <w:ind w:left="851" w:right="283"/>
        <w:jc w:val="center"/>
        <w:rPr>
          <w:rFonts w:cs="Arial"/>
          <w:b/>
        </w:rPr>
      </w:pPr>
    </w:p>
    <w:p w:rsidR="00EB67D9" w:rsidRDefault="007460AE" w:rsidP="0046760A">
      <w:pPr>
        <w:widowControl w:val="0"/>
        <w:autoSpaceDE w:val="0"/>
        <w:autoSpaceDN w:val="0"/>
        <w:adjustRightInd w:val="0"/>
        <w:spacing w:after="0" w:line="276" w:lineRule="auto"/>
        <w:ind w:left="851" w:right="283"/>
        <w:jc w:val="center"/>
        <w:outlineLvl w:val="0"/>
        <w:rPr>
          <w:rFonts w:eastAsia="Times New Roman" w:cs="Arial"/>
          <w:b/>
          <w:lang w:eastAsia="it-IT"/>
        </w:rPr>
      </w:pPr>
      <w:r w:rsidRPr="00E92E45">
        <w:rPr>
          <w:rFonts w:eastAsia="Times New Roman" w:cs="Arial"/>
          <w:b/>
          <w:lang w:eastAsia="it-IT"/>
        </w:rPr>
        <w:t>Medioc</w:t>
      </w:r>
      <w:r w:rsidR="00EB67D9" w:rsidRPr="00E92E45">
        <w:rPr>
          <w:rFonts w:eastAsia="Times New Roman" w:cs="Arial"/>
          <w:b/>
          <w:lang w:eastAsia="it-IT"/>
        </w:rPr>
        <w:t>redito Centrale</w:t>
      </w:r>
      <w:r w:rsidR="009D63DF">
        <w:rPr>
          <w:rFonts w:eastAsia="Times New Roman" w:cs="Arial"/>
          <w:b/>
          <w:lang w:eastAsia="it-IT"/>
        </w:rPr>
        <w:t>, approvazione del</w:t>
      </w:r>
      <w:r w:rsidR="00D53D05">
        <w:rPr>
          <w:rFonts w:eastAsia="Times New Roman" w:cs="Arial"/>
          <w:b/>
          <w:lang w:eastAsia="it-IT"/>
        </w:rPr>
        <w:t xml:space="preserve"> Rendiconto di Gestione</w:t>
      </w:r>
      <w:r w:rsidR="00B82667">
        <w:rPr>
          <w:rFonts w:eastAsia="Times New Roman" w:cs="Arial"/>
          <w:b/>
          <w:lang w:eastAsia="it-IT"/>
        </w:rPr>
        <w:t xml:space="preserve"> al 31</w:t>
      </w:r>
      <w:r w:rsidR="00716E5E" w:rsidRPr="00E92E45">
        <w:rPr>
          <w:rFonts w:eastAsia="Times New Roman" w:cs="Arial"/>
          <w:b/>
          <w:lang w:eastAsia="it-IT"/>
        </w:rPr>
        <w:t xml:space="preserve"> </w:t>
      </w:r>
      <w:r w:rsidR="00B82667">
        <w:rPr>
          <w:rFonts w:eastAsia="Times New Roman" w:cs="Arial"/>
          <w:b/>
          <w:lang w:eastAsia="it-IT"/>
        </w:rPr>
        <w:t>marzo 2019</w:t>
      </w:r>
    </w:p>
    <w:p w:rsidR="00756A3D" w:rsidRDefault="00756A3D" w:rsidP="0060354D">
      <w:pPr>
        <w:widowControl w:val="0"/>
        <w:autoSpaceDE w:val="0"/>
        <w:autoSpaceDN w:val="0"/>
        <w:adjustRightInd w:val="0"/>
        <w:spacing w:after="0" w:line="276" w:lineRule="auto"/>
        <w:ind w:left="851" w:right="283"/>
        <w:jc w:val="both"/>
        <w:outlineLvl w:val="0"/>
        <w:rPr>
          <w:rFonts w:cs="Arial"/>
        </w:rPr>
      </w:pPr>
    </w:p>
    <w:p w:rsidR="00756A3D" w:rsidRPr="00E92E45" w:rsidRDefault="00756A3D" w:rsidP="0060354D">
      <w:pPr>
        <w:widowControl w:val="0"/>
        <w:autoSpaceDE w:val="0"/>
        <w:autoSpaceDN w:val="0"/>
        <w:adjustRightInd w:val="0"/>
        <w:spacing w:after="0" w:line="276" w:lineRule="auto"/>
        <w:ind w:left="851" w:right="283"/>
        <w:jc w:val="both"/>
        <w:outlineLvl w:val="0"/>
        <w:rPr>
          <w:rFonts w:cs="Arial"/>
        </w:rPr>
      </w:pPr>
    </w:p>
    <w:p w:rsidR="00114989" w:rsidRPr="00E92E45" w:rsidRDefault="006E0A16" w:rsidP="00756A3D">
      <w:pPr>
        <w:pStyle w:val="Paragrafoelenco"/>
        <w:widowControl w:val="0"/>
        <w:numPr>
          <w:ilvl w:val="0"/>
          <w:numId w:val="38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1134" w:right="283" w:firstLine="0"/>
        <w:outlineLvl w:val="0"/>
        <w:rPr>
          <w:rFonts w:eastAsia="Times New Roman" w:cs="Arial"/>
          <w:b/>
          <w:lang w:eastAsia="it-IT"/>
        </w:rPr>
      </w:pPr>
      <w:bookmarkStart w:id="0" w:name="_Toc421539499"/>
      <w:bookmarkStart w:id="1" w:name="_Toc421539807"/>
      <w:bookmarkStart w:id="2" w:name="_Toc421539930"/>
      <w:r w:rsidRPr="00E92E45">
        <w:rPr>
          <w:rFonts w:eastAsia="Times New Roman" w:cs="Arial"/>
          <w:b/>
          <w:lang w:eastAsia="it-IT"/>
        </w:rPr>
        <w:t>Utile netto</w:t>
      </w:r>
      <w:r w:rsidR="00660C64" w:rsidRPr="00E92E45">
        <w:rPr>
          <w:rFonts w:eastAsia="Times New Roman" w:cs="Arial"/>
          <w:b/>
          <w:lang w:eastAsia="it-IT"/>
        </w:rPr>
        <w:t>:</w:t>
      </w:r>
      <w:r w:rsidR="00114989" w:rsidRPr="00E92E45">
        <w:rPr>
          <w:rFonts w:eastAsia="Times New Roman" w:cs="Arial"/>
          <w:b/>
          <w:lang w:eastAsia="it-IT"/>
        </w:rPr>
        <w:t xml:space="preserve"> </w:t>
      </w:r>
      <w:r w:rsidR="00ED3624">
        <w:rPr>
          <w:rFonts w:eastAsia="Times New Roman" w:cs="Arial"/>
          <w:b/>
          <w:lang w:eastAsia="it-IT"/>
        </w:rPr>
        <w:t>6</w:t>
      </w:r>
      <w:r w:rsidR="00302BC7" w:rsidRPr="00E92E45">
        <w:rPr>
          <w:rFonts w:eastAsia="Times New Roman" w:cs="Arial"/>
          <w:b/>
          <w:lang w:eastAsia="it-IT"/>
        </w:rPr>
        <w:t>,</w:t>
      </w:r>
      <w:r w:rsidR="003453B4">
        <w:rPr>
          <w:rFonts w:eastAsia="Times New Roman" w:cs="Arial"/>
          <w:b/>
          <w:lang w:eastAsia="it-IT"/>
        </w:rPr>
        <w:t>3</w:t>
      </w:r>
      <w:r w:rsidR="00716E5E" w:rsidRPr="00E92E45">
        <w:rPr>
          <w:rFonts w:eastAsia="Times New Roman" w:cs="Arial"/>
          <w:b/>
          <w:lang w:eastAsia="it-IT"/>
        </w:rPr>
        <w:t xml:space="preserve"> </w:t>
      </w:r>
      <w:r w:rsidR="00114989" w:rsidRPr="00E92E45">
        <w:rPr>
          <w:rFonts w:eastAsia="Times New Roman" w:cs="Arial"/>
          <w:b/>
          <w:lang w:eastAsia="it-IT"/>
        </w:rPr>
        <w:t>milion</w:t>
      </w:r>
      <w:r w:rsidR="005F74FA" w:rsidRPr="00E92E45">
        <w:rPr>
          <w:rFonts w:eastAsia="Times New Roman" w:cs="Arial"/>
          <w:b/>
          <w:lang w:eastAsia="it-IT"/>
        </w:rPr>
        <w:t>i</w:t>
      </w:r>
      <w:r w:rsidR="00601CFB" w:rsidRPr="00E92E45">
        <w:rPr>
          <w:rFonts w:eastAsia="Times New Roman" w:cs="Arial"/>
          <w:b/>
          <w:lang w:eastAsia="it-IT"/>
        </w:rPr>
        <w:t xml:space="preserve"> (</w:t>
      </w:r>
      <w:r w:rsidR="00ED3624">
        <w:rPr>
          <w:rFonts w:cs="Arial"/>
          <w:b/>
        </w:rPr>
        <w:t>-11</w:t>
      </w:r>
      <w:r w:rsidR="00A604CD" w:rsidRPr="003453B4">
        <w:rPr>
          <w:rFonts w:cs="Arial"/>
          <w:b/>
        </w:rPr>
        <w:t>%</w:t>
      </w:r>
      <w:r w:rsidR="009C5433">
        <w:rPr>
          <w:rFonts w:cs="Arial"/>
          <w:b/>
        </w:rPr>
        <w:t xml:space="preserve"> </w:t>
      </w:r>
      <w:r w:rsidR="00767E3C">
        <w:rPr>
          <w:rFonts w:cs="Arial"/>
          <w:b/>
        </w:rPr>
        <w:t>rispetto al</w:t>
      </w:r>
      <w:r w:rsidR="00ED3624">
        <w:rPr>
          <w:rFonts w:eastAsia="Times New Roman" w:cs="Arial"/>
          <w:b/>
          <w:lang w:eastAsia="it-IT"/>
        </w:rPr>
        <w:t xml:space="preserve"> 31</w:t>
      </w:r>
      <w:r w:rsidR="00716E5E" w:rsidRPr="00E92E45">
        <w:rPr>
          <w:rFonts w:eastAsia="Times New Roman" w:cs="Arial"/>
          <w:b/>
          <w:lang w:eastAsia="it-IT"/>
        </w:rPr>
        <w:t xml:space="preserve"> </w:t>
      </w:r>
      <w:r w:rsidR="00ED3624">
        <w:rPr>
          <w:rFonts w:eastAsia="Times New Roman" w:cs="Arial"/>
          <w:b/>
          <w:lang w:eastAsia="it-IT"/>
        </w:rPr>
        <w:t>marzo 2018</w:t>
      </w:r>
      <w:r w:rsidR="00716E5E" w:rsidRPr="00E92E45">
        <w:rPr>
          <w:rFonts w:eastAsia="Times New Roman" w:cs="Arial"/>
          <w:b/>
          <w:lang w:eastAsia="it-IT"/>
        </w:rPr>
        <w:t>)</w:t>
      </w:r>
    </w:p>
    <w:p w:rsidR="006E0A16" w:rsidRDefault="00660C64" w:rsidP="00756A3D">
      <w:pPr>
        <w:pStyle w:val="Paragrafoelenco"/>
        <w:widowControl w:val="0"/>
        <w:numPr>
          <w:ilvl w:val="0"/>
          <w:numId w:val="38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1134" w:right="283" w:firstLine="0"/>
        <w:outlineLvl w:val="0"/>
        <w:rPr>
          <w:rFonts w:eastAsia="Times New Roman" w:cs="Arial"/>
          <w:b/>
          <w:lang w:eastAsia="it-IT"/>
        </w:rPr>
      </w:pPr>
      <w:proofErr w:type="spellStart"/>
      <w:r w:rsidRPr="00E92E45">
        <w:rPr>
          <w:rFonts w:eastAsia="Arial Unicode MS" w:cs="Arial"/>
          <w:b/>
          <w:bCs/>
          <w:u w:color="0070C0"/>
          <w:bdr w:val="nil"/>
        </w:rPr>
        <w:t>Tier</w:t>
      </w:r>
      <w:proofErr w:type="spellEnd"/>
      <w:r w:rsidRPr="00E92E45">
        <w:rPr>
          <w:rFonts w:eastAsia="Arial Unicode MS" w:cs="Arial"/>
          <w:b/>
          <w:bCs/>
          <w:u w:color="0070C0"/>
          <w:bdr w:val="nil"/>
        </w:rPr>
        <w:t xml:space="preserve"> 1</w:t>
      </w:r>
      <w:r w:rsidR="003D14FE">
        <w:rPr>
          <w:rFonts w:eastAsia="Arial Unicode MS" w:cs="Arial"/>
          <w:b/>
          <w:bCs/>
          <w:u w:color="0070C0"/>
          <w:bdr w:val="nil"/>
        </w:rPr>
        <w:t>,</w:t>
      </w:r>
      <w:r w:rsidR="0028755D">
        <w:rPr>
          <w:rFonts w:eastAsia="Arial Unicode MS" w:cs="Arial"/>
          <w:b/>
          <w:bCs/>
          <w:u w:color="0070C0"/>
          <w:bdr w:val="nil"/>
        </w:rPr>
        <w:t xml:space="preserve"> </w:t>
      </w:r>
      <w:proofErr w:type="spellStart"/>
      <w:r w:rsidR="003D14FE" w:rsidRPr="003D14FE">
        <w:rPr>
          <w:rFonts w:eastAsia="Arial Unicode MS" w:cs="Arial"/>
          <w:b/>
          <w:bCs/>
          <w:u w:color="0070C0"/>
          <w:bdr w:val="nil"/>
        </w:rPr>
        <w:t>Cet</w:t>
      </w:r>
      <w:proofErr w:type="spellEnd"/>
      <w:r w:rsidR="003D14FE" w:rsidRPr="003D14FE">
        <w:rPr>
          <w:rFonts w:eastAsia="Arial Unicode MS" w:cs="Arial"/>
          <w:b/>
          <w:bCs/>
          <w:u w:color="0070C0"/>
          <w:bdr w:val="nil"/>
        </w:rPr>
        <w:t xml:space="preserve"> 1,</w:t>
      </w:r>
      <w:r w:rsidR="00D07919">
        <w:rPr>
          <w:rFonts w:eastAsia="Arial Unicode MS" w:cs="Arial"/>
          <w:b/>
          <w:bCs/>
          <w:u w:color="0070C0"/>
          <w:bdr w:val="nil"/>
        </w:rPr>
        <w:t xml:space="preserve"> </w:t>
      </w:r>
      <w:r w:rsidR="00586E1F">
        <w:rPr>
          <w:rFonts w:eastAsia="Arial Unicode MS" w:cs="Arial"/>
          <w:b/>
          <w:bCs/>
          <w:u w:color="0070C0"/>
          <w:bdr w:val="nil"/>
        </w:rPr>
        <w:t xml:space="preserve">Total </w:t>
      </w:r>
      <w:r w:rsidRPr="00E92E45">
        <w:rPr>
          <w:rFonts w:eastAsia="Arial Unicode MS" w:cs="Arial"/>
          <w:b/>
          <w:bCs/>
          <w:u w:color="0070C0"/>
          <w:bdr w:val="nil"/>
        </w:rPr>
        <w:t xml:space="preserve">Capital ratio: </w:t>
      </w:r>
      <w:r w:rsidR="0088545C">
        <w:rPr>
          <w:rFonts w:eastAsia="Arial Unicode MS" w:cs="Arial"/>
          <w:b/>
          <w:bCs/>
          <w:u w:color="0070C0"/>
          <w:bdr w:val="nil"/>
        </w:rPr>
        <w:t>21,57</w:t>
      </w:r>
      <w:r w:rsidR="00302BC7" w:rsidRPr="00E92E45">
        <w:rPr>
          <w:rFonts w:eastAsia="Arial Unicode MS" w:cs="Arial"/>
          <w:b/>
          <w:bCs/>
          <w:u w:color="0070C0"/>
          <w:bdr w:val="nil"/>
        </w:rPr>
        <w:t>% (</w:t>
      </w:r>
      <w:r w:rsidR="001D0A0A">
        <w:rPr>
          <w:rFonts w:eastAsia="Arial Unicode MS" w:cs="Arial"/>
          <w:b/>
          <w:bCs/>
          <w:u w:color="0070C0"/>
          <w:bdr w:val="nil"/>
        </w:rPr>
        <w:t>19</w:t>
      </w:r>
      <w:r w:rsidR="0088545C">
        <w:rPr>
          <w:rFonts w:eastAsia="Arial Unicode MS" w:cs="Arial"/>
          <w:b/>
          <w:bCs/>
          <w:u w:color="0070C0"/>
          <w:bdr w:val="nil"/>
        </w:rPr>
        <w:t>,62</w:t>
      </w:r>
      <w:r w:rsidRPr="00E92E45">
        <w:rPr>
          <w:rFonts w:eastAsia="Arial Unicode MS" w:cs="Arial"/>
          <w:b/>
          <w:bCs/>
          <w:u w:color="0070C0"/>
          <w:bdr w:val="nil"/>
        </w:rPr>
        <w:t>%</w:t>
      </w:r>
      <w:r w:rsidR="00716E5E" w:rsidRPr="00E92E45">
        <w:rPr>
          <w:rFonts w:eastAsia="Times New Roman" w:cs="Arial"/>
          <w:b/>
          <w:lang w:eastAsia="it-IT"/>
        </w:rPr>
        <w:t xml:space="preserve"> al 31</w:t>
      </w:r>
      <w:r w:rsidR="00D07919">
        <w:rPr>
          <w:rFonts w:eastAsia="Times New Roman" w:cs="Arial"/>
          <w:b/>
          <w:lang w:eastAsia="it-IT"/>
        </w:rPr>
        <w:t xml:space="preserve"> dicembre </w:t>
      </w:r>
      <w:r w:rsidR="00ED3624">
        <w:rPr>
          <w:rFonts w:eastAsia="Times New Roman" w:cs="Arial"/>
          <w:b/>
          <w:lang w:eastAsia="it-IT"/>
        </w:rPr>
        <w:t>2018</w:t>
      </w:r>
      <w:r w:rsidR="00716E5E" w:rsidRPr="00E92E45">
        <w:rPr>
          <w:rFonts w:eastAsia="Times New Roman" w:cs="Arial"/>
          <w:b/>
          <w:lang w:eastAsia="it-IT"/>
        </w:rPr>
        <w:t>)</w:t>
      </w:r>
    </w:p>
    <w:p w:rsidR="00756A3D" w:rsidRPr="00756A3D" w:rsidRDefault="00756A3D" w:rsidP="009C5433">
      <w:pPr>
        <w:pStyle w:val="Paragrafoelenco"/>
        <w:widowControl w:val="0"/>
        <w:numPr>
          <w:ilvl w:val="0"/>
          <w:numId w:val="38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1418" w:right="283" w:hanging="284"/>
        <w:jc w:val="both"/>
        <w:outlineLvl w:val="0"/>
        <w:rPr>
          <w:rFonts w:eastAsia="Times New Roman" w:cs="Arial"/>
          <w:b/>
          <w:lang w:eastAsia="it-IT"/>
        </w:rPr>
      </w:pPr>
      <w:r w:rsidRPr="00E92E45">
        <w:rPr>
          <w:rFonts w:cs="Arial"/>
          <w:b/>
        </w:rPr>
        <w:t>Fondo di Garanzia: +</w:t>
      </w:r>
      <w:r w:rsidR="0088545C">
        <w:rPr>
          <w:rFonts w:cs="Arial"/>
          <w:b/>
        </w:rPr>
        <w:t>8,3</w:t>
      </w:r>
      <w:r w:rsidR="009C5433">
        <w:rPr>
          <w:rFonts w:cs="Arial"/>
          <w:b/>
        </w:rPr>
        <w:t>% l</w:t>
      </w:r>
      <w:r w:rsidRPr="00E92E45">
        <w:rPr>
          <w:rFonts w:cs="Arial"/>
          <w:b/>
        </w:rPr>
        <w:t xml:space="preserve">e domande </w:t>
      </w:r>
      <w:r w:rsidR="00A66180">
        <w:rPr>
          <w:rFonts w:cs="Arial"/>
          <w:b/>
        </w:rPr>
        <w:t xml:space="preserve">ammesse </w:t>
      </w:r>
      <w:r>
        <w:rPr>
          <w:rFonts w:cs="Arial"/>
          <w:b/>
        </w:rPr>
        <w:t>a garanzia</w:t>
      </w:r>
      <w:r w:rsidR="009C5433">
        <w:rPr>
          <w:rFonts w:cs="Arial"/>
          <w:b/>
        </w:rPr>
        <w:t xml:space="preserve">, </w:t>
      </w:r>
      <w:r w:rsidR="0088545C">
        <w:rPr>
          <w:rFonts w:cs="Arial"/>
          <w:b/>
        </w:rPr>
        <w:t>+22,4</w:t>
      </w:r>
      <w:r w:rsidR="009C5433" w:rsidRPr="00E92E45">
        <w:rPr>
          <w:rFonts w:cs="Arial"/>
          <w:b/>
        </w:rPr>
        <w:t xml:space="preserve">% </w:t>
      </w:r>
      <w:r w:rsidR="009C5433">
        <w:rPr>
          <w:rFonts w:cs="Arial"/>
          <w:b/>
        </w:rPr>
        <w:t xml:space="preserve">i </w:t>
      </w:r>
      <w:r w:rsidRPr="00E92E45">
        <w:rPr>
          <w:rFonts w:cs="Arial"/>
          <w:b/>
        </w:rPr>
        <w:t>finanziamenti</w:t>
      </w:r>
      <w:r>
        <w:rPr>
          <w:rFonts w:cs="Arial"/>
          <w:b/>
        </w:rPr>
        <w:t xml:space="preserve"> garantiti</w:t>
      </w:r>
      <w:r w:rsidR="009C5433">
        <w:rPr>
          <w:rFonts w:cs="Arial"/>
          <w:b/>
        </w:rPr>
        <w:t xml:space="preserve"> alle imprese del Mezzogiorno</w:t>
      </w:r>
    </w:p>
    <w:p w:rsidR="00756A3D" w:rsidRPr="00E92E45" w:rsidRDefault="00756A3D" w:rsidP="009C5433">
      <w:pPr>
        <w:pStyle w:val="Paragrafoelenco"/>
        <w:widowControl w:val="0"/>
        <w:tabs>
          <w:tab w:val="left" w:pos="1418"/>
        </w:tabs>
        <w:autoSpaceDE w:val="0"/>
        <w:autoSpaceDN w:val="0"/>
        <w:adjustRightInd w:val="0"/>
        <w:spacing w:after="0" w:line="276" w:lineRule="auto"/>
        <w:ind w:left="1134" w:right="283"/>
        <w:outlineLvl w:val="0"/>
        <w:rPr>
          <w:rFonts w:eastAsia="Times New Roman" w:cs="Arial"/>
          <w:b/>
          <w:lang w:eastAsia="it-IT"/>
        </w:rPr>
      </w:pPr>
    </w:p>
    <w:p w:rsidR="00004151" w:rsidRDefault="00004151" w:rsidP="0060354D">
      <w:pPr>
        <w:widowControl w:val="0"/>
        <w:autoSpaceDE w:val="0"/>
        <w:autoSpaceDN w:val="0"/>
        <w:adjustRightInd w:val="0"/>
        <w:spacing w:after="0" w:line="240" w:lineRule="auto"/>
        <w:ind w:left="851" w:right="283"/>
        <w:jc w:val="both"/>
        <w:outlineLvl w:val="0"/>
        <w:rPr>
          <w:rFonts w:ascii="Calibri" w:eastAsia="Times New Roman" w:hAnsi="Calibri" w:cs="Arial"/>
          <w:i/>
          <w:sz w:val="24"/>
          <w:szCs w:val="24"/>
          <w:lang w:eastAsia="it-IT"/>
        </w:rPr>
      </w:pPr>
    </w:p>
    <w:p w:rsidR="00756A3D" w:rsidRPr="003D67E8" w:rsidRDefault="00756A3D" w:rsidP="0060354D">
      <w:pPr>
        <w:widowControl w:val="0"/>
        <w:autoSpaceDE w:val="0"/>
        <w:autoSpaceDN w:val="0"/>
        <w:adjustRightInd w:val="0"/>
        <w:spacing w:after="0" w:line="240" w:lineRule="auto"/>
        <w:ind w:left="851" w:right="283"/>
        <w:jc w:val="both"/>
        <w:outlineLvl w:val="0"/>
        <w:rPr>
          <w:rFonts w:ascii="Calibri" w:eastAsia="Times New Roman" w:hAnsi="Calibri" w:cs="Arial"/>
          <w:i/>
          <w:sz w:val="24"/>
          <w:szCs w:val="24"/>
          <w:lang w:eastAsia="it-IT"/>
        </w:rPr>
      </w:pPr>
    </w:p>
    <w:p w:rsidR="003B409F" w:rsidRPr="004B1E42" w:rsidRDefault="003B409F" w:rsidP="003B409F">
      <w:pPr>
        <w:widowControl w:val="0"/>
        <w:autoSpaceDE w:val="0"/>
        <w:autoSpaceDN w:val="0"/>
        <w:adjustRightInd w:val="0"/>
        <w:spacing w:after="0" w:line="276" w:lineRule="auto"/>
        <w:ind w:left="851" w:right="283"/>
        <w:jc w:val="both"/>
        <w:outlineLvl w:val="0"/>
        <w:rPr>
          <w:rFonts w:eastAsia="Times New Roman" w:cs="Arial"/>
          <w:iCs/>
          <w:color w:val="000000"/>
          <w:lang w:eastAsia="it-IT"/>
        </w:rPr>
      </w:pPr>
      <w:r w:rsidRPr="00356C7E">
        <w:rPr>
          <w:rFonts w:eastAsia="Times New Roman" w:cs="Arial"/>
          <w:i/>
          <w:lang w:eastAsia="it-IT"/>
        </w:rPr>
        <w:t xml:space="preserve">Roma, </w:t>
      </w:r>
      <w:r w:rsidR="00B82667">
        <w:rPr>
          <w:rFonts w:eastAsia="Times New Roman" w:cs="Arial"/>
          <w:i/>
          <w:lang w:eastAsia="it-IT"/>
        </w:rPr>
        <w:t>21</w:t>
      </w:r>
      <w:r w:rsidR="003453B4">
        <w:rPr>
          <w:rFonts w:eastAsia="Times New Roman" w:cs="Arial"/>
          <w:i/>
          <w:lang w:eastAsia="it-IT"/>
        </w:rPr>
        <w:t xml:space="preserve"> </w:t>
      </w:r>
      <w:r w:rsidR="008442FE">
        <w:rPr>
          <w:rFonts w:eastAsia="Times New Roman" w:cs="Arial"/>
          <w:i/>
          <w:lang w:eastAsia="it-IT"/>
        </w:rPr>
        <w:t>maggio</w:t>
      </w:r>
      <w:r w:rsidRPr="00356C7E">
        <w:rPr>
          <w:rFonts w:eastAsia="Times New Roman" w:cs="Arial"/>
          <w:i/>
          <w:lang w:eastAsia="it-IT"/>
        </w:rPr>
        <w:t xml:space="preserve"> 201</w:t>
      </w:r>
      <w:r w:rsidR="00B82667">
        <w:rPr>
          <w:rFonts w:eastAsia="Times New Roman" w:cs="Arial"/>
          <w:i/>
          <w:lang w:eastAsia="it-IT"/>
        </w:rPr>
        <w:t>9</w:t>
      </w:r>
      <w:r w:rsidRPr="00356C7E">
        <w:rPr>
          <w:rFonts w:eastAsia="Times New Roman" w:cs="Arial"/>
          <w:lang w:eastAsia="it-IT"/>
        </w:rPr>
        <w:t xml:space="preserve"> - Il Consiglio di Amministrazione di Mediocredito Centrale</w:t>
      </w:r>
      <w:r>
        <w:rPr>
          <w:rFonts w:eastAsia="Times New Roman" w:cs="Arial"/>
          <w:lang w:eastAsia="it-IT"/>
        </w:rPr>
        <w:t xml:space="preserve"> </w:t>
      </w:r>
      <w:r w:rsidRPr="00356C7E">
        <w:rPr>
          <w:rFonts w:cs="Arial"/>
        </w:rPr>
        <w:t xml:space="preserve">ha approvato </w:t>
      </w:r>
      <w:r w:rsidR="004F4D36">
        <w:rPr>
          <w:rFonts w:cs="Arial"/>
        </w:rPr>
        <w:t xml:space="preserve">il </w:t>
      </w:r>
      <w:r w:rsidR="003453B4" w:rsidRPr="003453B4">
        <w:rPr>
          <w:rFonts w:cs="Arial"/>
        </w:rPr>
        <w:t>Rendico</w:t>
      </w:r>
      <w:r w:rsidR="00B82667">
        <w:rPr>
          <w:rFonts w:cs="Arial"/>
        </w:rPr>
        <w:t>nto Intermedio di Gestione al 31</w:t>
      </w:r>
      <w:r w:rsidR="003453B4" w:rsidRPr="003453B4">
        <w:rPr>
          <w:rFonts w:cs="Arial"/>
        </w:rPr>
        <w:t xml:space="preserve"> </w:t>
      </w:r>
      <w:r w:rsidR="00B82667">
        <w:rPr>
          <w:rFonts w:cs="Arial"/>
        </w:rPr>
        <w:t>marzo 2019</w:t>
      </w:r>
      <w:r w:rsidRPr="003453B4">
        <w:rPr>
          <w:rFonts w:cs="Arial"/>
        </w:rPr>
        <w:t xml:space="preserve"> </w:t>
      </w:r>
      <w:r w:rsidRPr="00356C7E">
        <w:rPr>
          <w:rFonts w:cs="Arial"/>
        </w:rPr>
        <w:t xml:space="preserve">con un </w:t>
      </w:r>
      <w:r w:rsidR="003453B4">
        <w:rPr>
          <w:rFonts w:cs="Arial"/>
          <w:b/>
        </w:rPr>
        <w:t xml:space="preserve">utile netto a </w:t>
      </w:r>
      <w:r w:rsidR="00ED3624">
        <w:rPr>
          <w:rFonts w:cs="Arial"/>
          <w:b/>
        </w:rPr>
        <w:t>6</w:t>
      </w:r>
      <w:r w:rsidR="003453B4">
        <w:rPr>
          <w:rFonts w:cs="Arial"/>
          <w:b/>
        </w:rPr>
        <w:t>,3</w:t>
      </w:r>
      <w:r w:rsidRPr="00356C7E">
        <w:rPr>
          <w:rFonts w:cs="Arial"/>
          <w:b/>
        </w:rPr>
        <w:t xml:space="preserve"> milioni</w:t>
      </w:r>
      <w:r w:rsidR="003453B4">
        <w:rPr>
          <w:rFonts w:cs="Arial"/>
        </w:rPr>
        <w:t xml:space="preserve"> (</w:t>
      </w:r>
      <w:r w:rsidR="00ED3624">
        <w:rPr>
          <w:rFonts w:eastAsia="Times New Roman" w:cs="Arial"/>
          <w:lang w:eastAsia="it-IT"/>
        </w:rPr>
        <w:t>7</w:t>
      </w:r>
      <w:r w:rsidR="00A604CD" w:rsidRPr="009C5433">
        <w:rPr>
          <w:rFonts w:eastAsia="Times New Roman" w:cs="Arial"/>
          <w:lang w:eastAsia="it-IT"/>
        </w:rPr>
        <w:t xml:space="preserve"> milioni</w:t>
      </w:r>
      <w:r w:rsidR="009C5433">
        <w:rPr>
          <w:rFonts w:eastAsia="Times New Roman" w:cs="Arial"/>
          <w:lang w:eastAsia="it-IT"/>
        </w:rPr>
        <w:t xml:space="preserve"> </w:t>
      </w:r>
      <w:r w:rsidR="009C5433" w:rsidRPr="009C5433">
        <w:rPr>
          <w:rFonts w:eastAsia="Times New Roman" w:cs="Arial"/>
          <w:lang w:eastAsia="it-IT"/>
        </w:rPr>
        <w:t>al 3</w:t>
      </w:r>
      <w:r w:rsidR="00ED3624">
        <w:rPr>
          <w:rFonts w:eastAsia="Times New Roman" w:cs="Arial"/>
          <w:lang w:eastAsia="it-IT"/>
        </w:rPr>
        <w:t>1</w:t>
      </w:r>
      <w:r w:rsidR="009C5433" w:rsidRPr="009C5433">
        <w:rPr>
          <w:rFonts w:eastAsia="Times New Roman" w:cs="Arial"/>
          <w:lang w:eastAsia="it-IT"/>
        </w:rPr>
        <w:t xml:space="preserve"> </w:t>
      </w:r>
      <w:r w:rsidR="00ED3624">
        <w:rPr>
          <w:rFonts w:eastAsia="Times New Roman" w:cs="Arial"/>
          <w:lang w:eastAsia="it-IT"/>
        </w:rPr>
        <w:t>marzo 2018</w:t>
      </w:r>
      <w:r w:rsidR="003453B4" w:rsidRPr="009C5433">
        <w:rPr>
          <w:rFonts w:cs="Arial"/>
        </w:rPr>
        <w:t>)</w:t>
      </w:r>
      <w:r w:rsidRPr="009C5433">
        <w:rPr>
          <w:rFonts w:eastAsia="Times New Roman" w:cs="Arial"/>
          <w:iCs/>
          <w:color w:val="000000"/>
          <w:lang w:eastAsia="it-IT"/>
        </w:rPr>
        <w:t xml:space="preserve">. </w:t>
      </w:r>
    </w:p>
    <w:p w:rsidR="00ED3624" w:rsidRPr="00ED3624" w:rsidRDefault="00ED3624" w:rsidP="00ED3624">
      <w:pPr>
        <w:spacing w:line="240" w:lineRule="auto"/>
        <w:ind w:left="851" w:right="283"/>
        <w:jc w:val="both"/>
        <w:rPr>
          <w:rFonts w:cs="Arial"/>
        </w:rPr>
      </w:pPr>
      <w:r w:rsidRPr="00ED3624">
        <w:rPr>
          <w:rFonts w:cs="Arial"/>
        </w:rPr>
        <w:t>L’utile netto al 31 marzo 2019, pari a 6,3 milioni (-11% rispetto al 31</w:t>
      </w:r>
      <w:r w:rsidR="001A0924">
        <w:rPr>
          <w:rFonts w:cs="Arial"/>
        </w:rPr>
        <w:t xml:space="preserve"> marzo </w:t>
      </w:r>
      <w:r w:rsidRPr="00ED3624">
        <w:rPr>
          <w:rFonts w:cs="Arial"/>
        </w:rPr>
        <w:t xml:space="preserve">2018) </w:t>
      </w:r>
      <w:r w:rsidR="005F0B17">
        <w:rPr>
          <w:rFonts w:cs="Arial"/>
        </w:rPr>
        <w:t xml:space="preserve">sintetizza la contrazione </w:t>
      </w:r>
      <w:r w:rsidRPr="00ED3624">
        <w:rPr>
          <w:rFonts w:cs="Arial"/>
        </w:rPr>
        <w:t>d</w:t>
      </w:r>
      <w:r w:rsidR="001A0924">
        <w:rPr>
          <w:rFonts w:cs="Arial"/>
        </w:rPr>
        <w:t>el margine di interesse</w:t>
      </w:r>
      <w:r w:rsidR="005E0DF6" w:rsidRPr="005E0DF6">
        <w:rPr>
          <w:rFonts w:cs="Arial"/>
        </w:rPr>
        <w:t xml:space="preserve"> </w:t>
      </w:r>
      <w:r w:rsidR="005E0DF6">
        <w:rPr>
          <w:rFonts w:cs="Arial"/>
        </w:rPr>
        <w:t>da sviluppo creditizio</w:t>
      </w:r>
      <w:r w:rsidR="005F0B17">
        <w:rPr>
          <w:rFonts w:cs="Arial"/>
        </w:rPr>
        <w:t xml:space="preserve">, </w:t>
      </w:r>
      <w:r w:rsidRPr="00ED3624">
        <w:rPr>
          <w:rFonts w:cs="Arial"/>
        </w:rPr>
        <w:t>la maggiore contribuzione dell</w:t>
      </w:r>
      <w:r w:rsidR="005F0B17">
        <w:rPr>
          <w:rFonts w:cs="Arial"/>
        </w:rPr>
        <w:t>e comm</w:t>
      </w:r>
      <w:r w:rsidRPr="00ED3624">
        <w:rPr>
          <w:rFonts w:cs="Arial"/>
        </w:rPr>
        <w:t>ission</w:t>
      </w:r>
      <w:r w:rsidR="005F0B17">
        <w:rPr>
          <w:rFonts w:cs="Arial"/>
        </w:rPr>
        <w:t>i relative alla gestione del Fondo di Garanzia, l’</w:t>
      </w:r>
      <w:r w:rsidRPr="00ED3624">
        <w:rPr>
          <w:rFonts w:cs="Arial"/>
        </w:rPr>
        <w:t>azione di efficientamento dei costi e</w:t>
      </w:r>
      <w:r w:rsidR="005F0B17">
        <w:rPr>
          <w:rFonts w:cs="Arial"/>
        </w:rPr>
        <w:t xml:space="preserve"> </w:t>
      </w:r>
      <w:r w:rsidRPr="00ED3624">
        <w:rPr>
          <w:rFonts w:cs="Arial"/>
        </w:rPr>
        <w:t>la copertura d</w:t>
      </w:r>
      <w:r w:rsidR="005F0B17">
        <w:rPr>
          <w:rFonts w:cs="Arial"/>
        </w:rPr>
        <w:t>i posizioni</w:t>
      </w:r>
      <w:r w:rsidR="000B6354" w:rsidRPr="000B6354">
        <w:rPr>
          <w:rFonts w:cs="Arial"/>
        </w:rPr>
        <w:t xml:space="preserve"> </w:t>
      </w:r>
      <w:r w:rsidR="005E0DF6">
        <w:rPr>
          <w:rFonts w:cs="Arial"/>
        </w:rPr>
        <w:t xml:space="preserve">non </w:t>
      </w:r>
      <w:r w:rsidR="005E0DF6" w:rsidRPr="005E0DF6">
        <w:rPr>
          <w:rFonts w:cs="Arial"/>
          <w:i/>
        </w:rPr>
        <w:t>performing</w:t>
      </w:r>
      <w:r w:rsidR="005E0DF6">
        <w:rPr>
          <w:rFonts w:cs="Arial"/>
        </w:rPr>
        <w:t xml:space="preserve"> già realizzata</w:t>
      </w:r>
      <w:r w:rsidRPr="00ED3624">
        <w:rPr>
          <w:rFonts w:cs="Arial"/>
        </w:rPr>
        <w:t xml:space="preserve"> nel 2018</w:t>
      </w:r>
      <w:r w:rsidR="009D63DF">
        <w:rPr>
          <w:rFonts w:cs="Arial"/>
        </w:rPr>
        <w:t>.</w:t>
      </w:r>
    </w:p>
    <w:p w:rsidR="00ED3624" w:rsidRPr="00ED3624" w:rsidRDefault="00ED3624" w:rsidP="0088545C">
      <w:pPr>
        <w:spacing w:line="240" w:lineRule="auto"/>
        <w:ind w:left="851" w:right="283"/>
        <w:jc w:val="both"/>
        <w:rPr>
          <w:rFonts w:cs="Arial"/>
        </w:rPr>
      </w:pPr>
      <w:r w:rsidRPr="00ED3624">
        <w:rPr>
          <w:rFonts w:cs="Arial"/>
        </w:rPr>
        <w:t xml:space="preserve">Il </w:t>
      </w:r>
      <w:r w:rsidRPr="0088545C">
        <w:rPr>
          <w:rFonts w:cs="Arial"/>
          <w:b/>
        </w:rPr>
        <w:t xml:space="preserve">margine d’intermediazione </w:t>
      </w:r>
      <w:r w:rsidR="005F0B17">
        <w:rPr>
          <w:rFonts w:cs="Arial"/>
          <w:b/>
        </w:rPr>
        <w:t>pari</w:t>
      </w:r>
      <w:r w:rsidRPr="0088545C">
        <w:rPr>
          <w:rFonts w:cs="Arial"/>
          <w:b/>
        </w:rPr>
        <w:t xml:space="preserve"> a 20,5 milioni</w:t>
      </w:r>
      <w:r w:rsidR="005F0B17">
        <w:rPr>
          <w:rFonts w:cs="Arial"/>
        </w:rPr>
        <w:t xml:space="preserve"> (vs </w:t>
      </w:r>
      <w:r w:rsidR="003F0CE6">
        <w:rPr>
          <w:rFonts w:cs="Arial"/>
        </w:rPr>
        <w:t xml:space="preserve">23,3 milioni </w:t>
      </w:r>
      <w:r w:rsidR="003F0CE6" w:rsidRPr="00ED3624">
        <w:rPr>
          <w:rFonts w:cs="Arial"/>
        </w:rPr>
        <w:t>al 31</w:t>
      </w:r>
      <w:r w:rsidR="003F0CE6">
        <w:rPr>
          <w:rFonts w:cs="Arial"/>
        </w:rPr>
        <w:t xml:space="preserve"> marzo </w:t>
      </w:r>
      <w:r w:rsidR="003F0CE6" w:rsidRPr="00ED3624">
        <w:rPr>
          <w:rFonts w:cs="Arial"/>
        </w:rPr>
        <w:t xml:space="preserve">2018) </w:t>
      </w:r>
      <w:r w:rsidR="003F0CE6">
        <w:rPr>
          <w:rFonts w:cs="Arial"/>
        </w:rPr>
        <w:t>registra</w:t>
      </w:r>
      <w:r w:rsidRPr="00ED3624">
        <w:rPr>
          <w:rFonts w:cs="Arial"/>
        </w:rPr>
        <w:t>:</w:t>
      </w:r>
    </w:p>
    <w:p w:rsidR="00ED3624" w:rsidRPr="00ED3624" w:rsidRDefault="00ED3624" w:rsidP="00ED3624">
      <w:pPr>
        <w:numPr>
          <w:ilvl w:val="0"/>
          <w:numId w:val="42"/>
        </w:numPr>
        <w:spacing w:line="240" w:lineRule="auto"/>
        <w:ind w:right="283"/>
        <w:jc w:val="both"/>
        <w:rPr>
          <w:rFonts w:cs="Arial"/>
        </w:rPr>
      </w:pPr>
      <w:r w:rsidRPr="0088545C">
        <w:rPr>
          <w:rFonts w:cs="Arial"/>
          <w:b/>
        </w:rPr>
        <w:t>minore contribuzione del margine di interesse</w:t>
      </w:r>
      <w:r w:rsidRPr="00ED3624">
        <w:rPr>
          <w:rFonts w:cs="Arial"/>
        </w:rPr>
        <w:t xml:space="preserve"> (-28%) imputabile sia al perdurare della contrazione degli spread applicati alla clientela, sia alla contrazione dello stock creditizio (1.455 milioni di crediti a clientela contro 1.563 milioni al 31 marzo 2018), per effetto dei naturali rientri e di estinzioni anticipate solo parzialmente compensati dallo sviluppo della nuova produzione;</w:t>
      </w:r>
    </w:p>
    <w:p w:rsidR="00317664" w:rsidRPr="00317664" w:rsidRDefault="00ED3624" w:rsidP="0088545C">
      <w:pPr>
        <w:numPr>
          <w:ilvl w:val="0"/>
          <w:numId w:val="42"/>
        </w:numPr>
        <w:spacing w:line="240" w:lineRule="auto"/>
        <w:ind w:right="283"/>
        <w:jc w:val="both"/>
        <w:rPr>
          <w:rFonts w:cs="Arial"/>
        </w:rPr>
      </w:pPr>
      <w:r w:rsidRPr="0088545C">
        <w:rPr>
          <w:rFonts w:cs="Arial"/>
          <w:b/>
        </w:rPr>
        <w:t xml:space="preserve">crescita delle commissioni nette </w:t>
      </w:r>
      <w:r w:rsidRPr="00ED3624">
        <w:rPr>
          <w:rFonts w:cs="Arial"/>
        </w:rPr>
        <w:t>(+2%) p</w:t>
      </w:r>
      <w:r w:rsidR="003F0CE6">
        <w:rPr>
          <w:rFonts w:cs="Arial"/>
        </w:rPr>
        <w:t>er effetto</w:t>
      </w:r>
      <w:r w:rsidRPr="00ED3624">
        <w:rPr>
          <w:rFonts w:cs="Arial"/>
        </w:rPr>
        <w:t xml:space="preserve"> del Fondo di Garanzia (+3%) che </w:t>
      </w:r>
      <w:r w:rsidR="005E0DF6">
        <w:rPr>
          <w:rFonts w:cs="Arial"/>
        </w:rPr>
        <w:t xml:space="preserve">nel I trimestre dell’anno </w:t>
      </w:r>
      <w:r w:rsidRPr="00ED3624">
        <w:rPr>
          <w:rFonts w:cs="Arial"/>
        </w:rPr>
        <w:t xml:space="preserve">registra, in termini di domande accolte, un +8,3% (vs I trimestre 2018) per </w:t>
      </w:r>
      <w:proofErr w:type="gramStart"/>
      <w:r w:rsidRPr="00ED3624">
        <w:rPr>
          <w:rFonts w:cs="Arial"/>
        </w:rPr>
        <w:t xml:space="preserve">un </w:t>
      </w:r>
      <w:r w:rsidR="00F54C6E">
        <w:rPr>
          <w:rFonts w:cs="Arial"/>
        </w:rPr>
        <w:t xml:space="preserve"> totale</w:t>
      </w:r>
      <w:proofErr w:type="gramEnd"/>
      <w:r w:rsidR="00F54C6E">
        <w:rPr>
          <w:rFonts w:cs="Arial"/>
        </w:rPr>
        <w:t xml:space="preserve"> di finanziamenti garantiti </w:t>
      </w:r>
      <w:r w:rsidRPr="00ED3624">
        <w:rPr>
          <w:rFonts w:cs="Arial"/>
        </w:rPr>
        <w:t>pari a 5.336,5 milioni (+17,6% vs I trimestre 2018), di cui 1.642,8 milioni alle imprese del Mezzogiorno (+22,4% vs I trimestre 2018).</w:t>
      </w:r>
    </w:p>
    <w:p w:rsidR="00CF453B" w:rsidRPr="00356C7E" w:rsidRDefault="00660C64" w:rsidP="0060354D">
      <w:pPr>
        <w:widowControl w:val="0"/>
        <w:tabs>
          <w:tab w:val="left" w:pos="3808"/>
        </w:tabs>
        <w:spacing w:before="240" w:line="240" w:lineRule="auto"/>
        <w:ind w:left="851" w:right="283"/>
        <w:jc w:val="both"/>
        <w:rPr>
          <w:rFonts w:cs="Arial"/>
        </w:rPr>
      </w:pPr>
      <w:r w:rsidRPr="00A11C28">
        <w:rPr>
          <w:rFonts w:cs="Arial"/>
        </w:rPr>
        <w:t>L</w:t>
      </w:r>
      <w:r w:rsidR="00CF453B" w:rsidRPr="00356C7E">
        <w:rPr>
          <w:rFonts w:cs="Arial"/>
        </w:rPr>
        <w:t>a situazione economico-patrimoniale al 3</w:t>
      </w:r>
      <w:r w:rsidR="0088545C">
        <w:rPr>
          <w:rFonts w:cs="Arial"/>
        </w:rPr>
        <w:t>1 marzo 2019</w:t>
      </w:r>
      <w:r w:rsidR="00004151" w:rsidRPr="00356C7E">
        <w:rPr>
          <w:rFonts w:cs="Arial"/>
        </w:rPr>
        <w:t xml:space="preserve"> </w:t>
      </w:r>
      <w:r w:rsidR="00CF453B" w:rsidRPr="00356C7E">
        <w:rPr>
          <w:rFonts w:cs="Arial"/>
        </w:rPr>
        <w:t>rileva:</w:t>
      </w:r>
    </w:p>
    <w:p w:rsidR="00CF453B" w:rsidRPr="00356C7E" w:rsidRDefault="00CF453B" w:rsidP="0060354D">
      <w:pPr>
        <w:widowControl w:val="0"/>
        <w:spacing w:line="240" w:lineRule="auto"/>
        <w:ind w:left="851" w:right="283" w:firstLine="720"/>
        <w:jc w:val="center"/>
        <w:outlineLvl w:val="0"/>
        <w:rPr>
          <w:rFonts w:eastAsia="Arial" w:cs="Arial"/>
          <w:b/>
          <w:bCs/>
          <w:i/>
          <w:iCs/>
        </w:rPr>
      </w:pPr>
      <w:r w:rsidRPr="00356C7E">
        <w:rPr>
          <w:rFonts w:cs="Arial"/>
          <w:b/>
          <w:bCs/>
          <w:i/>
          <w:iCs/>
        </w:rPr>
        <w:t>Dati patrimoniali</w:t>
      </w:r>
    </w:p>
    <w:p w:rsidR="00CF453B" w:rsidRPr="00356C7E" w:rsidRDefault="00F81FAE" w:rsidP="0060354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 w:right="283"/>
        <w:jc w:val="both"/>
        <w:outlineLvl w:val="0"/>
        <w:rPr>
          <w:rFonts w:eastAsia="Arial Unicode MS" w:cs="Arial"/>
          <w:color w:val="000000"/>
          <w:u w:color="000000"/>
          <w:bdr w:val="nil"/>
        </w:rPr>
      </w:pPr>
      <w:r w:rsidRPr="00F81FAE">
        <w:rPr>
          <w:rFonts w:eastAsia="Arial Unicode MS" w:cs="Arial"/>
          <w:b/>
          <w:bCs/>
          <w:color w:val="000000"/>
          <w:u w:color="000000"/>
          <w:bdr w:val="nil"/>
        </w:rPr>
        <w:t>Attività finanziarie valutate al costo ammortizzato</w:t>
      </w:r>
      <w:r>
        <w:rPr>
          <w:rFonts w:eastAsia="Arial Unicode MS" w:cs="Arial"/>
          <w:b/>
          <w:bCs/>
          <w:color w:val="000000"/>
          <w:u w:color="000000"/>
          <w:bdr w:val="nil"/>
        </w:rPr>
        <w:t xml:space="preserve">, di cui </w:t>
      </w:r>
      <w:r w:rsidR="00CF453B" w:rsidRPr="00356C7E">
        <w:rPr>
          <w:rFonts w:eastAsia="Arial Unicode MS" w:cs="Arial"/>
          <w:b/>
          <w:bCs/>
          <w:color w:val="000000"/>
          <w:u w:color="000000"/>
          <w:bdr w:val="nil"/>
        </w:rPr>
        <w:t>Crediti verso clientela</w:t>
      </w:r>
      <w:r w:rsidR="001A0924">
        <w:rPr>
          <w:rFonts w:eastAsia="Arial Unicode MS" w:cs="Arial"/>
          <w:b/>
          <w:bCs/>
          <w:color w:val="000000"/>
          <w:u w:color="000000"/>
          <w:bdr w:val="nil"/>
        </w:rPr>
        <w:t>,</w:t>
      </w:r>
      <w:r w:rsidR="00CF453B" w:rsidRPr="00356C7E">
        <w:rPr>
          <w:rFonts w:eastAsia="Arial Unicode MS" w:cs="Arial"/>
          <w:b/>
          <w:bCs/>
          <w:color w:val="000000"/>
          <w:u w:color="000000"/>
          <w:bdr w:val="nil"/>
        </w:rPr>
        <w:t xml:space="preserve"> pari a 1.</w:t>
      </w:r>
      <w:r w:rsidR="001D0A0A">
        <w:rPr>
          <w:rFonts w:eastAsia="Arial Unicode MS" w:cs="Arial"/>
          <w:b/>
          <w:bCs/>
          <w:color w:val="000000"/>
          <w:u w:color="000000"/>
          <w:bdr w:val="nil"/>
        </w:rPr>
        <w:t>505</w:t>
      </w:r>
      <w:r w:rsidR="00CF453B" w:rsidRPr="00356C7E">
        <w:rPr>
          <w:rFonts w:eastAsia="Arial Unicode MS" w:cs="Arial"/>
          <w:b/>
          <w:bCs/>
          <w:color w:val="000000"/>
          <w:u w:color="000000"/>
          <w:bdr w:val="nil"/>
        </w:rPr>
        <w:t xml:space="preserve"> milioni</w:t>
      </w:r>
      <w:r w:rsidR="0046760A">
        <w:rPr>
          <w:rFonts w:eastAsia="Arial Unicode MS" w:cs="Arial"/>
          <w:bCs/>
          <w:color w:val="000000"/>
          <w:u w:color="000000"/>
          <w:bdr w:val="nil"/>
        </w:rPr>
        <w:t xml:space="preserve">, vs </w:t>
      </w:r>
      <w:r w:rsidR="001D0A0A">
        <w:rPr>
          <w:rFonts w:eastAsia="Arial Unicode MS" w:cs="Arial"/>
          <w:color w:val="000000"/>
          <w:u w:color="000000"/>
          <w:bdr w:val="nil"/>
        </w:rPr>
        <w:t>1.493</w:t>
      </w:r>
      <w:r w:rsidR="00CF453B" w:rsidRPr="00356C7E">
        <w:rPr>
          <w:rFonts w:eastAsia="Arial Unicode MS" w:cs="Arial"/>
          <w:color w:val="000000"/>
          <w:u w:color="000000"/>
          <w:bdr w:val="nil"/>
        </w:rPr>
        <w:t xml:space="preserve"> milioni al</w:t>
      </w:r>
      <w:r w:rsidR="001D0A0A">
        <w:rPr>
          <w:rFonts w:eastAsia="Arial Unicode MS" w:cs="Arial"/>
          <w:color w:val="000000"/>
          <w:u w:color="000000"/>
          <w:bdr w:val="nil"/>
        </w:rPr>
        <w:t xml:space="preserve"> 31 dicembre 2018</w:t>
      </w:r>
      <w:r w:rsidR="00CF453B" w:rsidRPr="00356C7E">
        <w:rPr>
          <w:rFonts w:eastAsia="Arial Unicode MS" w:cs="Arial"/>
          <w:color w:val="000000"/>
          <w:u w:color="000000"/>
          <w:bdr w:val="nil"/>
        </w:rPr>
        <w:t>;</w:t>
      </w:r>
    </w:p>
    <w:p w:rsidR="00CF453B" w:rsidRPr="00356C7E" w:rsidRDefault="00CF453B" w:rsidP="0060354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 w:right="283"/>
        <w:jc w:val="both"/>
        <w:outlineLvl w:val="0"/>
        <w:rPr>
          <w:rFonts w:eastAsia="Arial Unicode MS" w:cs="Arial"/>
          <w:color w:val="000000"/>
          <w:u w:color="000000"/>
          <w:bdr w:val="nil"/>
        </w:rPr>
      </w:pPr>
    </w:p>
    <w:p w:rsidR="00CF453B" w:rsidRPr="00356C7E" w:rsidRDefault="00CF453B" w:rsidP="0060354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 w:right="283"/>
        <w:jc w:val="both"/>
        <w:outlineLvl w:val="0"/>
        <w:rPr>
          <w:rFonts w:eastAsia="Arial" w:cs="Arial"/>
          <w:color w:val="000000"/>
          <w:u w:color="000000"/>
          <w:bdr w:val="nil"/>
        </w:rPr>
      </w:pPr>
      <w:r w:rsidRPr="00356C7E">
        <w:rPr>
          <w:rFonts w:eastAsia="Arial Unicode MS" w:cs="Arial"/>
          <w:b/>
          <w:bCs/>
          <w:color w:val="000000"/>
          <w:u w:color="000000"/>
          <w:bdr w:val="nil"/>
        </w:rPr>
        <w:t xml:space="preserve">Attività finanziarie </w:t>
      </w:r>
      <w:r w:rsidR="00C514BA" w:rsidRPr="00356C7E">
        <w:rPr>
          <w:rFonts w:eastAsia="Arial Unicode MS" w:cs="Arial"/>
          <w:b/>
          <w:bCs/>
          <w:color w:val="000000"/>
          <w:u w:color="000000"/>
          <w:bdr w:val="nil"/>
        </w:rPr>
        <w:t xml:space="preserve">valutate al </w:t>
      </w:r>
      <w:r w:rsidR="00C514BA" w:rsidRPr="00356C7E">
        <w:rPr>
          <w:rFonts w:eastAsia="Arial Unicode MS" w:cs="Arial"/>
          <w:b/>
          <w:bCs/>
          <w:i/>
          <w:color w:val="000000"/>
          <w:u w:color="000000"/>
          <w:bdr w:val="nil"/>
        </w:rPr>
        <w:t xml:space="preserve">fair </w:t>
      </w:r>
      <w:proofErr w:type="spellStart"/>
      <w:r w:rsidR="00C514BA" w:rsidRPr="00356C7E">
        <w:rPr>
          <w:rFonts w:eastAsia="Arial Unicode MS" w:cs="Arial"/>
          <w:b/>
          <w:bCs/>
          <w:i/>
          <w:color w:val="000000"/>
          <w:u w:color="000000"/>
          <w:bdr w:val="nil"/>
        </w:rPr>
        <w:t>value</w:t>
      </w:r>
      <w:proofErr w:type="spellEnd"/>
      <w:r w:rsidR="00C514BA" w:rsidRPr="00356C7E">
        <w:rPr>
          <w:rFonts w:eastAsia="Arial Unicode MS" w:cs="Arial"/>
          <w:b/>
          <w:bCs/>
          <w:color w:val="000000"/>
          <w:u w:color="000000"/>
          <w:bdr w:val="nil"/>
        </w:rPr>
        <w:t xml:space="preserve"> con impatto sulla redditività complessiva p</w:t>
      </w:r>
      <w:r w:rsidRPr="00356C7E">
        <w:rPr>
          <w:rFonts w:eastAsia="Arial Unicode MS" w:cs="Arial"/>
          <w:b/>
          <w:bCs/>
          <w:color w:val="000000"/>
          <w:u w:color="000000"/>
          <w:bdr w:val="nil"/>
        </w:rPr>
        <w:t xml:space="preserve">ari a </w:t>
      </w:r>
      <w:r w:rsidR="001D0A0A">
        <w:rPr>
          <w:rFonts w:eastAsia="Arial Unicode MS" w:cs="Arial"/>
          <w:b/>
          <w:bCs/>
          <w:color w:val="000000"/>
          <w:u w:color="000000"/>
          <w:bdr w:val="nil"/>
        </w:rPr>
        <w:t>714</w:t>
      </w:r>
      <w:r w:rsidRPr="00356C7E">
        <w:rPr>
          <w:rFonts w:eastAsia="Arial Unicode MS" w:cs="Arial"/>
          <w:b/>
          <w:bCs/>
          <w:color w:val="000000"/>
          <w:u w:color="000000"/>
          <w:bdr w:val="nil"/>
        </w:rPr>
        <w:t xml:space="preserve"> milioni</w:t>
      </w:r>
      <w:r w:rsidR="0046760A">
        <w:rPr>
          <w:rFonts w:eastAsia="Arial Unicode MS" w:cs="Arial"/>
          <w:color w:val="000000"/>
          <w:u w:color="000000"/>
          <w:bdr w:val="nil"/>
        </w:rPr>
        <w:t xml:space="preserve">, vs </w:t>
      </w:r>
      <w:r w:rsidRPr="00356C7E">
        <w:rPr>
          <w:rFonts w:eastAsia="Arial Unicode MS" w:cs="Arial"/>
          <w:color w:val="000000"/>
          <w:u w:color="000000"/>
          <w:bdr w:val="nil"/>
        </w:rPr>
        <w:t>7</w:t>
      </w:r>
      <w:r w:rsidR="001D0A0A">
        <w:rPr>
          <w:rFonts w:eastAsia="Arial Unicode MS" w:cs="Arial"/>
          <w:color w:val="000000"/>
          <w:u w:color="000000"/>
          <w:bdr w:val="nil"/>
        </w:rPr>
        <w:t>16</w:t>
      </w:r>
      <w:r w:rsidRPr="00356C7E">
        <w:rPr>
          <w:rFonts w:eastAsia="Arial Unicode MS" w:cs="Arial"/>
          <w:color w:val="000000"/>
          <w:u w:color="000000"/>
          <w:bdr w:val="nil"/>
        </w:rPr>
        <w:t xml:space="preserve"> milioni al 31 di</w:t>
      </w:r>
      <w:r w:rsidR="001D0A0A">
        <w:rPr>
          <w:rFonts w:eastAsia="Arial Unicode MS" w:cs="Arial"/>
          <w:color w:val="000000"/>
          <w:u w:color="000000"/>
          <w:bdr w:val="nil"/>
        </w:rPr>
        <w:t>cembre 2018</w:t>
      </w:r>
      <w:r w:rsidRPr="00356C7E">
        <w:rPr>
          <w:rFonts w:eastAsia="Arial Unicode MS" w:cs="Arial"/>
          <w:color w:val="000000"/>
          <w:u w:color="000000"/>
          <w:bdr w:val="nil"/>
        </w:rPr>
        <w:t xml:space="preserve">; </w:t>
      </w:r>
    </w:p>
    <w:p w:rsidR="00CF453B" w:rsidRPr="00356C7E" w:rsidRDefault="00CF453B" w:rsidP="0060354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 w:right="283"/>
        <w:jc w:val="both"/>
        <w:outlineLvl w:val="0"/>
        <w:rPr>
          <w:rFonts w:eastAsia="Arial" w:cs="Arial"/>
          <w:b/>
          <w:bCs/>
          <w:color w:val="000000"/>
          <w:u w:color="000000"/>
          <w:bdr w:val="nil"/>
        </w:rPr>
      </w:pPr>
    </w:p>
    <w:p w:rsidR="00CF453B" w:rsidRPr="00356C7E" w:rsidRDefault="00F81FAE" w:rsidP="0060354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 w:right="283"/>
        <w:jc w:val="both"/>
        <w:outlineLvl w:val="0"/>
        <w:rPr>
          <w:rFonts w:eastAsia="Arial" w:cs="Arial"/>
          <w:b/>
          <w:bCs/>
          <w:color w:val="000000"/>
          <w:u w:color="000000"/>
          <w:bdr w:val="nil"/>
        </w:rPr>
      </w:pPr>
      <w:r w:rsidRPr="00F81FAE">
        <w:rPr>
          <w:rFonts w:eastAsia="Arial" w:cs="Arial"/>
          <w:b/>
          <w:bCs/>
          <w:color w:val="000000"/>
          <w:u w:color="000000"/>
          <w:bdr w:val="nil"/>
        </w:rPr>
        <w:t>Passività finanziarie valutate al costo ammortizzato</w:t>
      </w:r>
      <w:r w:rsidR="00CF453B" w:rsidRPr="00356C7E">
        <w:rPr>
          <w:rFonts w:eastAsia="Arial" w:cs="Arial"/>
          <w:b/>
          <w:bCs/>
          <w:color w:val="000000"/>
          <w:u w:color="000000"/>
          <w:bdr w:val="nil"/>
        </w:rPr>
        <w:t xml:space="preserve"> pari a </w:t>
      </w:r>
      <w:r w:rsidR="009041E0">
        <w:rPr>
          <w:rFonts w:eastAsia="Arial" w:cs="Arial"/>
          <w:b/>
          <w:bCs/>
          <w:color w:val="000000"/>
          <w:u w:color="000000"/>
          <w:bdr w:val="nil"/>
        </w:rPr>
        <w:t>1.96</w:t>
      </w:r>
      <w:r w:rsidR="001D0A0A">
        <w:rPr>
          <w:rFonts w:eastAsia="Arial" w:cs="Arial"/>
          <w:b/>
          <w:bCs/>
          <w:color w:val="000000"/>
          <w:u w:color="000000"/>
          <w:bdr w:val="nil"/>
        </w:rPr>
        <w:t>7</w:t>
      </w:r>
      <w:r w:rsidR="00CF453B" w:rsidRPr="00356C7E">
        <w:rPr>
          <w:rFonts w:eastAsia="Arial" w:cs="Arial"/>
          <w:b/>
          <w:bCs/>
          <w:color w:val="000000"/>
          <w:u w:color="000000"/>
          <w:bdr w:val="nil"/>
        </w:rPr>
        <w:t xml:space="preserve"> milioni</w:t>
      </w:r>
      <w:r w:rsidR="0046760A" w:rsidRPr="0046760A">
        <w:rPr>
          <w:rFonts w:eastAsia="Arial" w:cs="Arial"/>
          <w:bCs/>
          <w:color w:val="000000"/>
          <w:u w:color="000000"/>
          <w:bdr w:val="nil"/>
        </w:rPr>
        <w:t>,</w:t>
      </w:r>
      <w:r w:rsidR="00767E3C">
        <w:rPr>
          <w:rFonts w:eastAsia="Arial" w:cs="Arial"/>
          <w:bCs/>
          <w:color w:val="000000"/>
          <w:u w:color="000000"/>
          <w:bdr w:val="nil"/>
        </w:rPr>
        <w:t xml:space="preserve"> </w:t>
      </w:r>
      <w:r w:rsidR="0046760A">
        <w:rPr>
          <w:rFonts w:eastAsia="Arial" w:cs="Arial"/>
          <w:bCs/>
          <w:color w:val="000000"/>
          <w:u w:color="000000"/>
          <w:bdr w:val="nil"/>
        </w:rPr>
        <w:t xml:space="preserve">vs </w:t>
      </w:r>
      <w:r w:rsidR="001D0A0A">
        <w:rPr>
          <w:rFonts w:eastAsia="Arial" w:cs="Arial"/>
          <w:bCs/>
          <w:color w:val="000000"/>
          <w:u w:color="000000"/>
          <w:bdr w:val="nil"/>
        </w:rPr>
        <w:t>1.986</w:t>
      </w:r>
      <w:r w:rsidR="00CF453B" w:rsidRPr="00356C7E">
        <w:rPr>
          <w:rFonts w:eastAsia="Arial" w:cs="Arial"/>
          <w:bCs/>
          <w:color w:val="000000"/>
          <w:u w:color="000000"/>
          <w:bdr w:val="nil"/>
        </w:rPr>
        <w:t xml:space="preserve"> milioni </w:t>
      </w:r>
      <w:r w:rsidR="001D0A0A">
        <w:rPr>
          <w:rFonts w:eastAsia="Arial" w:cs="Arial"/>
          <w:bCs/>
          <w:color w:val="000000"/>
          <w:u w:color="000000"/>
          <w:bdr w:val="nil"/>
        </w:rPr>
        <w:t>al 31 dicembre 2018</w:t>
      </w:r>
      <w:r w:rsidR="00CF453B" w:rsidRPr="00356C7E">
        <w:rPr>
          <w:rFonts w:eastAsia="Arial" w:cs="Arial"/>
          <w:b/>
          <w:bCs/>
          <w:color w:val="000000"/>
          <w:u w:color="000000"/>
          <w:bdr w:val="nil"/>
        </w:rPr>
        <w:t>;</w:t>
      </w:r>
    </w:p>
    <w:p w:rsidR="00CF453B" w:rsidRPr="00356C7E" w:rsidRDefault="00CF453B" w:rsidP="0060354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 w:right="283"/>
        <w:jc w:val="both"/>
        <w:outlineLvl w:val="0"/>
        <w:rPr>
          <w:rFonts w:eastAsia="Arial Unicode MS" w:cs="Arial"/>
          <w:b/>
          <w:bCs/>
          <w:color w:val="000000"/>
          <w:u w:color="000000"/>
          <w:bdr w:val="nil"/>
        </w:rPr>
      </w:pPr>
    </w:p>
    <w:p w:rsidR="00CF453B" w:rsidRPr="00356C7E" w:rsidRDefault="00CF453B" w:rsidP="0060354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 w:right="283"/>
        <w:jc w:val="both"/>
        <w:outlineLvl w:val="0"/>
        <w:rPr>
          <w:rFonts w:eastAsia="Arial" w:cs="Arial"/>
          <w:b/>
          <w:bCs/>
          <w:color w:val="000000"/>
          <w:u w:color="000000"/>
          <w:bdr w:val="nil"/>
        </w:rPr>
      </w:pPr>
      <w:r w:rsidRPr="00356C7E">
        <w:rPr>
          <w:rFonts w:eastAsia="Arial Unicode MS" w:cs="Arial"/>
          <w:b/>
          <w:bCs/>
          <w:color w:val="000000"/>
          <w:u w:color="000000"/>
          <w:bdr w:val="nil"/>
        </w:rPr>
        <w:lastRenderedPageBreak/>
        <w:t>Patrimonio netto</w:t>
      </w:r>
      <w:r w:rsidRPr="00356C7E">
        <w:rPr>
          <w:rFonts w:eastAsia="Arial" w:cs="Arial"/>
          <w:b/>
          <w:bCs/>
          <w:color w:val="000000"/>
          <w:u w:color="000000"/>
          <w:bdr w:val="nil"/>
          <w:vertAlign w:val="superscript"/>
        </w:rPr>
        <w:footnoteReference w:id="1"/>
      </w:r>
      <w:r w:rsidRPr="00356C7E">
        <w:rPr>
          <w:rFonts w:eastAsia="Arial Unicode MS" w:cs="Arial"/>
          <w:b/>
          <w:bCs/>
          <w:color w:val="000000"/>
          <w:u w:color="000000"/>
          <w:bdr w:val="nil"/>
          <w:vertAlign w:val="superscript"/>
        </w:rPr>
        <w:t xml:space="preserve"> </w:t>
      </w:r>
      <w:r w:rsidRPr="00356C7E">
        <w:rPr>
          <w:rFonts w:eastAsia="Arial Unicode MS" w:cs="Arial"/>
          <w:b/>
          <w:bCs/>
          <w:color w:val="000000"/>
          <w:u w:color="000000"/>
          <w:bdr w:val="nil"/>
        </w:rPr>
        <w:t xml:space="preserve">pari a </w:t>
      </w:r>
      <w:r w:rsidR="001D0A0A">
        <w:rPr>
          <w:rFonts w:eastAsia="Arial Unicode MS" w:cs="Arial"/>
          <w:b/>
          <w:color w:val="000000"/>
          <w:u w:color="000000"/>
          <w:bdr w:val="nil"/>
        </w:rPr>
        <w:t>275</w:t>
      </w:r>
      <w:r w:rsidRPr="00356C7E">
        <w:rPr>
          <w:rFonts w:eastAsia="Arial Unicode MS" w:cs="Arial"/>
          <w:b/>
          <w:color w:val="000000"/>
          <w:u w:color="000000"/>
          <w:bdr w:val="nil"/>
        </w:rPr>
        <w:t xml:space="preserve"> milioni</w:t>
      </w:r>
      <w:r w:rsidR="0046760A">
        <w:rPr>
          <w:rFonts w:eastAsia="Arial Unicode MS" w:cs="Arial"/>
          <w:color w:val="000000"/>
          <w:u w:color="000000"/>
          <w:bdr w:val="nil"/>
        </w:rPr>
        <w:t xml:space="preserve">, vs </w:t>
      </w:r>
      <w:r w:rsidR="001D0A0A">
        <w:rPr>
          <w:rFonts w:eastAsia="Arial Unicode MS" w:cs="Arial"/>
          <w:color w:val="000000"/>
          <w:u w:color="000000"/>
          <w:bdr w:val="nil"/>
        </w:rPr>
        <w:t>265</w:t>
      </w:r>
      <w:r w:rsidR="0046760A">
        <w:rPr>
          <w:rFonts w:eastAsia="Arial Unicode MS" w:cs="Arial"/>
          <w:color w:val="000000"/>
          <w:u w:color="000000"/>
          <w:bdr w:val="nil"/>
        </w:rPr>
        <w:t>,4</w:t>
      </w:r>
      <w:r w:rsidRPr="00356C7E">
        <w:rPr>
          <w:rFonts w:eastAsia="Arial Unicode MS" w:cs="Arial"/>
          <w:color w:val="000000"/>
          <w:u w:color="000000"/>
          <w:bdr w:val="nil"/>
        </w:rPr>
        <w:t xml:space="preserve"> milioni</w:t>
      </w:r>
      <w:r w:rsidR="001D0A0A">
        <w:rPr>
          <w:rFonts w:eastAsia="Arial Unicode MS" w:cs="Arial"/>
          <w:color w:val="000000"/>
          <w:u w:color="000000"/>
          <w:bdr w:val="nil"/>
        </w:rPr>
        <w:t xml:space="preserve"> al 31 dicembre 2018</w:t>
      </w:r>
      <w:r w:rsidRPr="00356C7E">
        <w:rPr>
          <w:rFonts w:eastAsia="Arial Unicode MS" w:cs="Arial"/>
          <w:color w:val="000000"/>
          <w:u w:color="000000"/>
          <w:bdr w:val="nil"/>
        </w:rPr>
        <w:t>;</w:t>
      </w:r>
    </w:p>
    <w:p w:rsidR="00CF453B" w:rsidRPr="00356C7E" w:rsidRDefault="00CF453B" w:rsidP="0060354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 w:right="283"/>
        <w:jc w:val="both"/>
        <w:outlineLvl w:val="0"/>
        <w:rPr>
          <w:rFonts w:eastAsia="Arial Unicode MS" w:cs="Arial"/>
          <w:color w:val="000000"/>
          <w:u w:color="000000"/>
          <w:bdr w:val="nil"/>
        </w:rPr>
      </w:pPr>
    </w:p>
    <w:p w:rsidR="00CF453B" w:rsidRPr="00356C7E" w:rsidRDefault="00CF453B" w:rsidP="0060354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 w:right="283"/>
        <w:jc w:val="both"/>
        <w:outlineLvl w:val="0"/>
        <w:rPr>
          <w:rFonts w:eastAsia="Arial Unicode MS" w:cs="Arial"/>
          <w:color w:val="000000"/>
          <w:u w:color="000000"/>
          <w:bdr w:val="nil"/>
        </w:rPr>
      </w:pPr>
      <w:proofErr w:type="spellStart"/>
      <w:r w:rsidRPr="00356C7E">
        <w:rPr>
          <w:rFonts w:eastAsia="Arial Unicode MS" w:cs="Arial"/>
          <w:b/>
          <w:bCs/>
          <w:u w:color="0070C0"/>
          <w:bdr w:val="nil"/>
        </w:rPr>
        <w:t>Tier</w:t>
      </w:r>
      <w:proofErr w:type="spellEnd"/>
      <w:r w:rsidRPr="00356C7E">
        <w:rPr>
          <w:rFonts w:eastAsia="Arial Unicode MS" w:cs="Arial"/>
          <w:b/>
          <w:bCs/>
          <w:u w:color="0070C0"/>
          <w:bdr w:val="nil"/>
        </w:rPr>
        <w:t xml:space="preserve"> 1</w:t>
      </w:r>
      <w:r w:rsidR="003D14FE">
        <w:rPr>
          <w:rFonts w:eastAsia="Arial Unicode MS" w:cs="Arial"/>
          <w:b/>
          <w:bCs/>
          <w:u w:color="0070C0"/>
          <w:bdr w:val="nil"/>
        </w:rPr>
        <w:t>,</w:t>
      </w:r>
      <w:r w:rsidR="0028755D">
        <w:rPr>
          <w:rFonts w:eastAsia="Arial Unicode MS" w:cs="Arial"/>
          <w:b/>
          <w:bCs/>
          <w:u w:color="0070C0"/>
          <w:bdr w:val="nil"/>
        </w:rPr>
        <w:t xml:space="preserve"> </w:t>
      </w:r>
      <w:proofErr w:type="spellStart"/>
      <w:r w:rsidR="003D14FE" w:rsidRPr="003D14FE">
        <w:rPr>
          <w:rFonts w:eastAsia="Arial Unicode MS" w:cs="Arial"/>
          <w:b/>
          <w:bCs/>
          <w:u w:color="0070C0"/>
          <w:bdr w:val="nil"/>
        </w:rPr>
        <w:t>Cet</w:t>
      </w:r>
      <w:proofErr w:type="spellEnd"/>
      <w:r w:rsidR="003D14FE" w:rsidRPr="003D14FE">
        <w:rPr>
          <w:rFonts w:eastAsia="Arial Unicode MS" w:cs="Arial"/>
          <w:b/>
          <w:bCs/>
          <w:u w:color="0070C0"/>
          <w:bdr w:val="nil"/>
        </w:rPr>
        <w:t xml:space="preserve"> 1,</w:t>
      </w:r>
      <w:r w:rsidR="003D14FE">
        <w:rPr>
          <w:rFonts w:eastAsia="Arial Unicode MS" w:cs="Arial"/>
          <w:b/>
          <w:bCs/>
          <w:u w:color="0070C0"/>
          <w:bdr w:val="nil"/>
        </w:rPr>
        <w:t xml:space="preserve"> </w:t>
      </w:r>
      <w:r w:rsidR="00586E1F">
        <w:rPr>
          <w:rFonts w:eastAsia="Arial Unicode MS" w:cs="Arial"/>
          <w:b/>
          <w:bCs/>
          <w:u w:color="0070C0"/>
          <w:bdr w:val="nil"/>
        </w:rPr>
        <w:t xml:space="preserve">Total </w:t>
      </w:r>
      <w:r w:rsidRPr="00356C7E">
        <w:rPr>
          <w:rFonts w:eastAsia="Arial Unicode MS" w:cs="Arial"/>
          <w:b/>
          <w:bCs/>
          <w:u w:color="0070C0"/>
          <w:bdr w:val="nil"/>
        </w:rPr>
        <w:t>Capital ratio pari a</w:t>
      </w:r>
      <w:r w:rsidR="00660C64" w:rsidRPr="00356C7E">
        <w:rPr>
          <w:rFonts w:eastAsia="Arial Unicode MS" w:cs="Arial"/>
          <w:b/>
          <w:bCs/>
          <w:u w:color="0070C0"/>
          <w:bdr w:val="nil"/>
        </w:rPr>
        <w:t xml:space="preserve"> </w:t>
      </w:r>
      <w:r w:rsidR="001D0A0A">
        <w:rPr>
          <w:rFonts w:eastAsia="Arial Unicode MS" w:cs="Arial"/>
          <w:b/>
          <w:bCs/>
          <w:u w:color="0070C0"/>
          <w:bdr w:val="nil"/>
        </w:rPr>
        <w:t>21,57</w:t>
      </w:r>
      <w:r w:rsidRPr="00356C7E">
        <w:rPr>
          <w:rFonts w:eastAsia="Arial Unicode MS" w:cs="Arial"/>
          <w:b/>
          <w:bCs/>
          <w:u w:color="0070C0"/>
          <w:bdr w:val="nil"/>
        </w:rPr>
        <w:t>%</w:t>
      </w:r>
      <w:r w:rsidR="0046760A">
        <w:rPr>
          <w:rFonts w:eastAsia="Arial Unicode MS" w:cs="Arial"/>
          <w:u w:color="000000"/>
          <w:bdr w:val="nil"/>
        </w:rPr>
        <w:t xml:space="preserve">, vs </w:t>
      </w:r>
      <w:r w:rsidR="00C514BA" w:rsidRPr="00356C7E">
        <w:rPr>
          <w:rFonts w:eastAsia="Arial Unicode MS" w:cs="Arial"/>
          <w:u w:color="000000"/>
          <w:bdr w:val="nil"/>
        </w:rPr>
        <w:t>1</w:t>
      </w:r>
      <w:r w:rsidR="001D0A0A">
        <w:rPr>
          <w:rFonts w:eastAsia="Arial Unicode MS" w:cs="Arial"/>
          <w:u w:color="000000"/>
          <w:bdr w:val="nil"/>
        </w:rPr>
        <w:t>9,62% al 31 dicembre 2018</w:t>
      </w:r>
      <w:r w:rsidRPr="00356C7E">
        <w:rPr>
          <w:rFonts w:eastAsia="Arial Unicode MS" w:cs="Arial"/>
          <w:color w:val="000000"/>
          <w:u w:color="000000"/>
          <w:bdr w:val="nil"/>
        </w:rPr>
        <w:t>.</w:t>
      </w:r>
    </w:p>
    <w:p w:rsidR="00CF453B" w:rsidRDefault="00CF453B" w:rsidP="0060354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 w:right="283"/>
        <w:jc w:val="both"/>
        <w:outlineLvl w:val="0"/>
        <w:rPr>
          <w:rFonts w:eastAsia="Arial Unicode MS" w:cs="Arial"/>
          <w:color w:val="000000"/>
          <w:u w:color="000000"/>
          <w:bdr w:val="nil"/>
        </w:rPr>
      </w:pPr>
    </w:p>
    <w:p w:rsidR="00CF453B" w:rsidRPr="00356C7E" w:rsidRDefault="00CF453B" w:rsidP="0060354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 w:right="283" w:firstLine="655"/>
        <w:outlineLvl w:val="0"/>
        <w:rPr>
          <w:rFonts w:eastAsia="Arial Unicode MS" w:cs="Arial"/>
          <w:b/>
          <w:bCs/>
          <w:i/>
          <w:iCs/>
          <w:color w:val="000000"/>
          <w:u w:color="000000"/>
          <w:bdr w:val="nil"/>
        </w:rPr>
      </w:pPr>
    </w:p>
    <w:p w:rsidR="00CF453B" w:rsidRPr="00356C7E" w:rsidRDefault="00CF453B" w:rsidP="0060354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 w:right="283" w:firstLine="655"/>
        <w:outlineLvl w:val="0"/>
        <w:rPr>
          <w:rFonts w:eastAsia="Arial Unicode MS" w:cs="Arial"/>
          <w:b/>
          <w:bCs/>
          <w:i/>
          <w:iCs/>
          <w:color w:val="000000"/>
          <w:u w:color="000000"/>
          <w:bdr w:val="nil"/>
        </w:rPr>
      </w:pPr>
    </w:p>
    <w:p w:rsidR="00CF453B" w:rsidRPr="00356C7E" w:rsidRDefault="00CF453B" w:rsidP="004F706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 w:right="283"/>
        <w:jc w:val="center"/>
        <w:outlineLvl w:val="0"/>
        <w:rPr>
          <w:rFonts w:eastAsia="Arial" w:cs="Arial"/>
          <w:b/>
          <w:bCs/>
          <w:i/>
          <w:iCs/>
          <w:color w:val="000000"/>
          <w:u w:color="000000"/>
          <w:bdr w:val="nil"/>
        </w:rPr>
      </w:pPr>
      <w:r w:rsidRPr="00356C7E">
        <w:rPr>
          <w:rFonts w:eastAsia="Arial Unicode MS" w:cs="Arial"/>
          <w:b/>
          <w:bCs/>
          <w:i/>
          <w:iCs/>
          <w:color w:val="000000"/>
          <w:u w:color="000000"/>
          <w:bdr w:val="nil"/>
        </w:rPr>
        <w:t>Dati economici e di performance</w:t>
      </w:r>
    </w:p>
    <w:p w:rsidR="00CF453B" w:rsidRPr="00356C7E" w:rsidRDefault="00CF453B" w:rsidP="006035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 w:right="283"/>
        <w:jc w:val="both"/>
        <w:rPr>
          <w:rFonts w:eastAsia="Arial" w:cs="Arial"/>
          <w:color w:val="000000"/>
          <w:u w:color="000000"/>
          <w:bdr w:val="nil"/>
        </w:rPr>
      </w:pPr>
    </w:p>
    <w:p w:rsidR="00CF453B" w:rsidRPr="00356C7E" w:rsidRDefault="00CF453B" w:rsidP="0060354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 w:right="283"/>
        <w:jc w:val="both"/>
        <w:outlineLvl w:val="0"/>
        <w:rPr>
          <w:rFonts w:eastAsia="Arial" w:cs="Arial"/>
          <w:b/>
          <w:bCs/>
          <w:color w:val="000000"/>
          <w:u w:color="000000"/>
          <w:bdr w:val="nil"/>
        </w:rPr>
      </w:pPr>
      <w:r w:rsidRPr="00356C7E">
        <w:rPr>
          <w:rFonts w:eastAsia="Arial Unicode MS" w:cs="Arial"/>
          <w:b/>
          <w:bCs/>
          <w:color w:val="000000"/>
          <w:u w:color="000000"/>
          <w:bdr w:val="nil"/>
        </w:rPr>
        <w:t>Margine di interesse pari a</w:t>
      </w:r>
      <w:r w:rsidR="009041E0">
        <w:rPr>
          <w:rFonts w:eastAsia="Arial Unicode MS" w:cs="Arial"/>
          <w:b/>
          <w:bCs/>
          <w:color w:val="000000"/>
          <w:u w:color="000000"/>
          <w:bdr w:val="nil"/>
        </w:rPr>
        <w:t xml:space="preserve"> </w:t>
      </w:r>
      <w:r w:rsidR="0046760A">
        <w:rPr>
          <w:rFonts w:eastAsia="Arial Unicode MS" w:cs="Arial"/>
          <w:b/>
          <w:bCs/>
          <w:color w:val="000000"/>
          <w:u w:color="000000"/>
          <w:bdr w:val="nil"/>
        </w:rPr>
        <w:t>6,6</w:t>
      </w:r>
      <w:r w:rsidRPr="00356C7E">
        <w:rPr>
          <w:rFonts w:eastAsia="Arial Unicode MS" w:cs="Arial"/>
          <w:b/>
          <w:bCs/>
          <w:color w:val="000000"/>
          <w:u w:color="000000"/>
          <w:bdr w:val="nil"/>
        </w:rPr>
        <w:t xml:space="preserve"> milioni</w:t>
      </w:r>
      <w:r w:rsidR="0046760A" w:rsidRPr="0046760A">
        <w:rPr>
          <w:rFonts w:eastAsia="Arial Unicode MS" w:cs="Arial"/>
          <w:bCs/>
          <w:color w:val="000000"/>
          <w:u w:color="000000"/>
          <w:bdr w:val="nil"/>
        </w:rPr>
        <w:t xml:space="preserve">, </w:t>
      </w:r>
      <w:r w:rsidR="0046760A">
        <w:rPr>
          <w:rFonts w:eastAsia="Arial Unicode MS" w:cs="Arial"/>
          <w:color w:val="000000"/>
          <w:u w:color="000000"/>
          <w:bdr w:val="nil"/>
        </w:rPr>
        <w:t>vs 9,2</w:t>
      </w:r>
      <w:r w:rsidRPr="00356C7E">
        <w:rPr>
          <w:rFonts w:eastAsia="Arial Unicode MS" w:cs="Arial"/>
          <w:color w:val="000000"/>
          <w:u w:color="000000"/>
          <w:bdr w:val="nil"/>
        </w:rPr>
        <w:t xml:space="preserve"> milioni al </w:t>
      </w:r>
      <w:r w:rsidR="009E3371" w:rsidRPr="00356C7E">
        <w:rPr>
          <w:rFonts w:eastAsia="Arial Unicode MS" w:cs="Arial"/>
          <w:color w:val="000000"/>
          <w:u w:color="000000"/>
          <w:bdr w:val="nil"/>
        </w:rPr>
        <w:t>3</w:t>
      </w:r>
      <w:r w:rsidR="001D0A0A">
        <w:rPr>
          <w:rFonts w:eastAsia="Arial Unicode MS" w:cs="Arial"/>
          <w:color w:val="000000"/>
          <w:u w:color="000000"/>
          <w:bdr w:val="nil"/>
        </w:rPr>
        <w:t>1 marzo 2018</w:t>
      </w:r>
      <w:r w:rsidRPr="00356C7E">
        <w:rPr>
          <w:rFonts w:eastAsia="Arial Unicode MS" w:cs="Arial"/>
          <w:color w:val="000000"/>
          <w:u w:color="000000"/>
          <w:bdr w:val="nil"/>
        </w:rPr>
        <w:t>;</w:t>
      </w:r>
    </w:p>
    <w:p w:rsidR="00CF453B" w:rsidRPr="00356C7E" w:rsidRDefault="00CF453B" w:rsidP="0060354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 w:right="283"/>
        <w:jc w:val="both"/>
        <w:outlineLvl w:val="0"/>
        <w:rPr>
          <w:rFonts w:eastAsia="Arial" w:cs="Arial"/>
          <w:b/>
          <w:bCs/>
          <w:color w:val="000000"/>
          <w:u w:color="000000"/>
          <w:bdr w:val="nil"/>
        </w:rPr>
      </w:pPr>
    </w:p>
    <w:p w:rsidR="00CF453B" w:rsidRPr="00356C7E" w:rsidRDefault="00CF453B" w:rsidP="0060354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 w:right="283"/>
        <w:jc w:val="both"/>
        <w:outlineLvl w:val="0"/>
        <w:rPr>
          <w:rFonts w:eastAsia="Arial Unicode MS" w:cs="Arial"/>
          <w:b/>
          <w:bCs/>
          <w:color w:val="000000"/>
          <w:u w:color="000000"/>
          <w:bdr w:val="nil"/>
        </w:rPr>
      </w:pPr>
      <w:r w:rsidRPr="00356C7E">
        <w:rPr>
          <w:rFonts w:eastAsia="Arial Unicode MS" w:cs="Arial"/>
          <w:b/>
          <w:bCs/>
          <w:color w:val="000000"/>
          <w:u w:color="000000"/>
          <w:bdr w:val="nil"/>
        </w:rPr>
        <w:t xml:space="preserve">Commissioni nette pari a </w:t>
      </w:r>
      <w:r w:rsidR="0046760A">
        <w:rPr>
          <w:rFonts w:eastAsia="Arial Unicode MS" w:cs="Arial"/>
          <w:b/>
          <w:bCs/>
          <w:color w:val="000000"/>
          <w:u w:color="000000"/>
          <w:bdr w:val="nil"/>
        </w:rPr>
        <w:t>14</w:t>
      </w:r>
      <w:r w:rsidRPr="00356C7E">
        <w:rPr>
          <w:rFonts w:eastAsia="Arial Unicode MS" w:cs="Arial"/>
          <w:b/>
          <w:bCs/>
          <w:color w:val="000000"/>
          <w:u w:color="000000"/>
          <w:bdr w:val="nil"/>
        </w:rPr>
        <w:t xml:space="preserve"> milioni</w:t>
      </w:r>
      <w:r w:rsidR="0046760A">
        <w:rPr>
          <w:rFonts w:eastAsia="Arial Unicode MS" w:cs="Arial"/>
          <w:color w:val="000000"/>
          <w:u w:color="000000"/>
          <w:bdr w:val="nil"/>
        </w:rPr>
        <w:t>, vs 13,6</w:t>
      </w:r>
      <w:r w:rsidRPr="00356C7E">
        <w:rPr>
          <w:rFonts w:eastAsia="Arial Unicode MS" w:cs="Arial"/>
          <w:color w:val="000000"/>
          <w:u w:color="000000"/>
          <w:bdr w:val="nil"/>
        </w:rPr>
        <w:t xml:space="preserve"> milioni al </w:t>
      </w:r>
      <w:r w:rsidR="001D0A0A" w:rsidRPr="00356C7E">
        <w:rPr>
          <w:rFonts w:eastAsia="Arial Unicode MS" w:cs="Arial"/>
          <w:color w:val="000000"/>
          <w:u w:color="000000"/>
          <w:bdr w:val="nil"/>
        </w:rPr>
        <w:t>3</w:t>
      </w:r>
      <w:r w:rsidR="0046760A">
        <w:rPr>
          <w:rFonts w:eastAsia="Arial Unicode MS" w:cs="Arial"/>
          <w:color w:val="000000"/>
          <w:u w:color="000000"/>
          <w:bdr w:val="nil"/>
        </w:rPr>
        <w:t>1 marzo 2018</w:t>
      </w:r>
      <w:r w:rsidR="001D0A0A" w:rsidRPr="00356C7E">
        <w:rPr>
          <w:rFonts w:eastAsia="Arial Unicode MS" w:cs="Arial"/>
          <w:color w:val="000000"/>
          <w:u w:color="000000"/>
          <w:bdr w:val="nil"/>
        </w:rPr>
        <w:t>;</w:t>
      </w:r>
    </w:p>
    <w:p w:rsidR="00CF453B" w:rsidRPr="00356C7E" w:rsidRDefault="00CF453B" w:rsidP="0060354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 w:right="283"/>
        <w:jc w:val="both"/>
        <w:outlineLvl w:val="0"/>
        <w:rPr>
          <w:rFonts w:eastAsia="Arial Unicode MS" w:cs="Arial"/>
          <w:b/>
          <w:bCs/>
          <w:color w:val="000000"/>
          <w:u w:color="000000"/>
          <w:bdr w:val="nil"/>
        </w:rPr>
      </w:pPr>
    </w:p>
    <w:p w:rsidR="00CF453B" w:rsidRPr="00356C7E" w:rsidRDefault="00CF453B" w:rsidP="0060354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 w:right="283"/>
        <w:jc w:val="both"/>
        <w:outlineLvl w:val="0"/>
        <w:rPr>
          <w:rFonts w:eastAsia="Arial Unicode MS" w:cs="Arial"/>
          <w:b/>
          <w:bCs/>
          <w:color w:val="000000"/>
          <w:u w:color="000000"/>
          <w:bdr w:val="nil"/>
        </w:rPr>
      </w:pPr>
      <w:r w:rsidRPr="00356C7E">
        <w:rPr>
          <w:rFonts w:eastAsia="Arial Unicode MS" w:cs="Arial"/>
          <w:b/>
          <w:bCs/>
          <w:color w:val="000000"/>
          <w:u w:color="000000"/>
          <w:bdr w:val="nil"/>
        </w:rPr>
        <w:t xml:space="preserve">Margine di intermediazione pari a </w:t>
      </w:r>
      <w:r w:rsidR="0046760A">
        <w:rPr>
          <w:rFonts w:eastAsia="Arial Unicode MS" w:cs="Arial"/>
          <w:b/>
          <w:bCs/>
          <w:color w:val="000000"/>
          <w:u w:color="000000"/>
          <w:bdr w:val="nil"/>
        </w:rPr>
        <w:t>20,5</w:t>
      </w:r>
      <w:r w:rsidRPr="00356C7E">
        <w:rPr>
          <w:rFonts w:eastAsia="Arial Unicode MS" w:cs="Arial"/>
          <w:b/>
          <w:bCs/>
          <w:color w:val="000000"/>
          <w:u w:color="000000"/>
          <w:bdr w:val="nil"/>
        </w:rPr>
        <w:t xml:space="preserve"> milioni</w:t>
      </w:r>
      <w:r w:rsidR="0046760A">
        <w:rPr>
          <w:rFonts w:eastAsia="Arial Unicode MS" w:cs="Arial"/>
          <w:color w:val="000000"/>
          <w:u w:color="000000"/>
          <w:bdr w:val="nil"/>
        </w:rPr>
        <w:t>, vs 23,3</w:t>
      </w:r>
      <w:r w:rsidRPr="00356C7E">
        <w:rPr>
          <w:rFonts w:eastAsia="Arial Unicode MS" w:cs="Arial"/>
          <w:color w:val="000000"/>
          <w:u w:color="000000"/>
          <w:bdr w:val="nil"/>
        </w:rPr>
        <w:t xml:space="preserve"> milioni al </w:t>
      </w:r>
      <w:r w:rsidR="001D0A0A" w:rsidRPr="00356C7E">
        <w:rPr>
          <w:rFonts w:eastAsia="Arial Unicode MS" w:cs="Arial"/>
          <w:color w:val="000000"/>
          <w:u w:color="000000"/>
          <w:bdr w:val="nil"/>
        </w:rPr>
        <w:t>3</w:t>
      </w:r>
      <w:r w:rsidR="0046760A">
        <w:rPr>
          <w:rFonts w:eastAsia="Arial Unicode MS" w:cs="Arial"/>
          <w:color w:val="000000"/>
          <w:u w:color="000000"/>
          <w:bdr w:val="nil"/>
        </w:rPr>
        <w:t>1 marzo 2018</w:t>
      </w:r>
      <w:r w:rsidR="001D0A0A" w:rsidRPr="00356C7E">
        <w:rPr>
          <w:rFonts w:eastAsia="Arial Unicode MS" w:cs="Arial"/>
          <w:color w:val="000000"/>
          <w:u w:color="000000"/>
          <w:bdr w:val="nil"/>
        </w:rPr>
        <w:t>;</w:t>
      </w:r>
    </w:p>
    <w:p w:rsidR="00CF453B" w:rsidRPr="00356C7E" w:rsidRDefault="00CF453B" w:rsidP="0060354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 w:right="283"/>
        <w:jc w:val="both"/>
        <w:outlineLvl w:val="0"/>
        <w:rPr>
          <w:rFonts w:eastAsia="Arial" w:cs="Arial"/>
          <w:b/>
          <w:bCs/>
          <w:color w:val="000000"/>
          <w:u w:color="000000"/>
          <w:bdr w:val="nil"/>
        </w:rPr>
      </w:pPr>
    </w:p>
    <w:p w:rsidR="00CF453B" w:rsidRPr="00356C7E" w:rsidRDefault="00CF453B" w:rsidP="0060354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 w:right="283"/>
        <w:jc w:val="both"/>
        <w:rPr>
          <w:rFonts w:eastAsia="Arial Unicode MS" w:cs="Arial"/>
          <w:b/>
          <w:bCs/>
          <w:u w:color="000000"/>
          <w:bdr w:val="nil"/>
        </w:rPr>
      </w:pPr>
      <w:r w:rsidRPr="00356C7E">
        <w:rPr>
          <w:rFonts w:eastAsia="Arial Unicode MS" w:cs="Arial"/>
          <w:b/>
          <w:bCs/>
          <w:color w:val="000000"/>
          <w:u w:color="000000"/>
          <w:bdr w:val="nil"/>
        </w:rPr>
        <w:t xml:space="preserve">Costi operativi pari a </w:t>
      </w:r>
      <w:r w:rsidR="0046760A">
        <w:rPr>
          <w:rFonts w:eastAsia="Arial Unicode MS" w:cs="Arial"/>
          <w:b/>
          <w:bCs/>
          <w:color w:val="000000"/>
          <w:u w:color="000000"/>
          <w:bdr w:val="nil"/>
        </w:rPr>
        <w:t>9,9</w:t>
      </w:r>
      <w:r w:rsidRPr="00356C7E">
        <w:rPr>
          <w:rFonts w:eastAsia="Arial Unicode MS" w:cs="Arial"/>
          <w:b/>
          <w:bCs/>
          <w:color w:val="000000"/>
          <w:u w:color="000000"/>
          <w:bdr w:val="nil"/>
        </w:rPr>
        <w:t xml:space="preserve"> milioni</w:t>
      </w:r>
      <w:r w:rsidR="0046760A">
        <w:rPr>
          <w:rFonts w:eastAsia="Arial Unicode MS" w:cs="Arial"/>
          <w:u w:color="000000"/>
          <w:bdr w:val="nil"/>
        </w:rPr>
        <w:t>, vs 9,5</w:t>
      </w:r>
      <w:r w:rsidRPr="00356C7E">
        <w:rPr>
          <w:rFonts w:eastAsia="Arial Unicode MS" w:cs="Arial"/>
          <w:u w:color="000000"/>
          <w:bdr w:val="nil"/>
        </w:rPr>
        <w:t xml:space="preserve"> milioni </w:t>
      </w:r>
      <w:r w:rsidR="005E0DF6">
        <w:rPr>
          <w:rFonts w:eastAsia="Arial Unicode MS" w:cs="Arial"/>
          <w:u w:color="000000"/>
          <w:bdr w:val="nil"/>
        </w:rPr>
        <w:t xml:space="preserve">al netto di riprese straordinarie per circa 1 milione, contabilizzate </w:t>
      </w:r>
      <w:r w:rsidRPr="00356C7E">
        <w:rPr>
          <w:rFonts w:eastAsia="Arial Unicode MS" w:cs="Arial"/>
          <w:u w:color="000000"/>
          <w:bdr w:val="nil"/>
        </w:rPr>
        <w:t xml:space="preserve">al </w:t>
      </w:r>
      <w:r w:rsidR="001D0A0A" w:rsidRPr="00356C7E">
        <w:rPr>
          <w:rFonts w:eastAsia="Arial Unicode MS" w:cs="Arial"/>
          <w:color w:val="000000"/>
          <w:u w:color="000000"/>
          <w:bdr w:val="nil"/>
        </w:rPr>
        <w:t>3</w:t>
      </w:r>
      <w:r w:rsidR="0046760A">
        <w:rPr>
          <w:rFonts w:eastAsia="Arial Unicode MS" w:cs="Arial"/>
          <w:color w:val="000000"/>
          <w:u w:color="000000"/>
          <w:bdr w:val="nil"/>
        </w:rPr>
        <w:t>1 marzo 2018</w:t>
      </w:r>
      <w:r w:rsidR="001D0A0A" w:rsidRPr="00356C7E">
        <w:rPr>
          <w:rFonts w:eastAsia="Arial Unicode MS" w:cs="Arial"/>
          <w:color w:val="000000"/>
          <w:u w:color="000000"/>
          <w:bdr w:val="nil"/>
        </w:rPr>
        <w:t>;</w:t>
      </w:r>
    </w:p>
    <w:p w:rsidR="00CF453B" w:rsidRPr="00356C7E" w:rsidRDefault="00CF453B" w:rsidP="0060354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 w:right="283"/>
        <w:jc w:val="both"/>
        <w:rPr>
          <w:rFonts w:eastAsia="Arial" w:cs="Arial"/>
          <w:u w:color="000000"/>
          <w:bdr w:val="nil"/>
        </w:rPr>
      </w:pPr>
    </w:p>
    <w:p w:rsidR="00CF453B" w:rsidRPr="00356C7E" w:rsidRDefault="00CF453B" w:rsidP="0060354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 w:right="283"/>
        <w:jc w:val="both"/>
        <w:outlineLvl w:val="0"/>
        <w:rPr>
          <w:rFonts w:eastAsia="Arial Unicode MS" w:cs="Arial"/>
          <w:b/>
          <w:bCs/>
          <w:u w:color="000000"/>
          <w:bdr w:val="nil"/>
        </w:rPr>
      </w:pPr>
      <w:r w:rsidRPr="00356C7E">
        <w:rPr>
          <w:rFonts w:eastAsia="Arial Unicode MS" w:cs="Arial"/>
          <w:b/>
          <w:bCs/>
          <w:u w:color="000000"/>
          <w:bdr w:val="nil"/>
        </w:rPr>
        <w:t>Cost/</w:t>
      </w:r>
      <w:proofErr w:type="spellStart"/>
      <w:r w:rsidRPr="00356C7E">
        <w:rPr>
          <w:rFonts w:eastAsia="Arial Unicode MS" w:cs="Arial"/>
          <w:b/>
          <w:bCs/>
          <w:u w:color="000000"/>
          <w:bdr w:val="nil"/>
        </w:rPr>
        <w:t>income</w:t>
      </w:r>
      <w:proofErr w:type="spellEnd"/>
      <w:r w:rsidRPr="00356C7E">
        <w:rPr>
          <w:rFonts w:eastAsia="Arial Unicode MS" w:cs="Arial"/>
          <w:b/>
          <w:bCs/>
          <w:u w:color="000000"/>
          <w:bdr w:val="nil"/>
        </w:rPr>
        <w:t xml:space="preserve"> pari al </w:t>
      </w:r>
      <w:r w:rsidR="0046760A">
        <w:rPr>
          <w:rFonts w:eastAsia="Arial Unicode MS" w:cs="Arial"/>
          <w:b/>
          <w:bCs/>
          <w:u w:color="000000"/>
          <w:bdr w:val="nil"/>
        </w:rPr>
        <w:t>48</w:t>
      </w:r>
      <w:r w:rsidRPr="00356C7E">
        <w:rPr>
          <w:rFonts w:eastAsia="Arial Unicode MS" w:cs="Arial"/>
          <w:b/>
          <w:bCs/>
          <w:u w:color="000000"/>
          <w:bdr w:val="nil"/>
        </w:rPr>
        <w:t>%</w:t>
      </w:r>
      <w:r w:rsidR="0046760A">
        <w:rPr>
          <w:rFonts w:eastAsia="Arial Unicode MS" w:cs="Arial"/>
          <w:u w:color="000000"/>
          <w:bdr w:val="nil"/>
        </w:rPr>
        <w:t>, vs il 45</w:t>
      </w:r>
      <w:r w:rsidRPr="00356C7E">
        <w:rPr>
          <w:rFonts w:eastAsia="Arial Unicode MS" w:cs="Arial"/>
          <w:u w:color="000000"/>
          <w:bdr w:val="nil"/>
        </w:rPr>
        <w:t xml:space="preserve">% al </w:t>
      </w:r>
      <w:r w:rsidR="001D0A0A" w:rsidRPr="00356C7E">
        <w:rPr>
          <w:rFonts w:eastAsia="Arial Unicode MS" w:cs="Arial"/>
          <w:color w:val="000000"/>
          <w:u w:color="000000"/>
          <w:bdr w:val="nil"/>
        </w:rPr>
        <w:t>3</w:t>
      </w:r>
      <w:r w:rsidR="0046760A">
        <w:rPr>
          <w:rFonts w:eastAsia="Arial Unicode MS" w:cs="Arial"/>
          <w:color w:val="000000"/>
          <w:u w:color="000000"/>
          <w:bdr w:val="nil"/>
        </w:rPr>
        <w:t>1 marzo 2018</w:t>
      </w:r>
      <w:r w:rsidR="001D0A0A">
        <w:rPr>
          <w:rFonts w:eastAsia="Arial Unicode MS" w:cs="Arial"/>
          <w:color w:val="000000"/>
          <w:u w:color="000000"/>
          <w:bdr w:val="nil"/>
        </w:rPr>
        <w:t>.</w:t>
      </w:r>
    </w:p>
    <w:p w:rsidR="00CF453B" w:rsidRPr="00356C7E" w:rsidRDefault="00CF453B" w:rsidP="0060354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 w:right="283"/>
        <w:jc w:val="both"/>
        <w:outlineLvl w:val="0"/>
        <w:rPr>
          <w:rFonts w:eastAsia="Arial Unicode MS" w:cs="Arial"/>
          <w:u w:color="000000"/>
          <w:bdr w:val="nil"/>
        </w:rPr>
      </w:pPr>
    </w:p>
    <w:p w:rsidR="00866984" w:rsidRPr="00356C7E" w:rsidRDefault="00866984" w:rsidP="0060354D">
      <w:pPr>
        <w:ind w:left="851" w:right="283"/>
        <w:rPr>
          <w:rFonts w:eastAsia="Times New Roman" w:cs="Arial"/>
          <w:highlight w:val="yellow"/>
          <w:lang w:eastAsia="it-IT"/>
        </w:rPr>
      </w:pPr>
      <w:r w:rsidRPr="00356C7E">
        <w:rPr>
          <w:rFonts w:eastAsia="Times New Roman" w:cs="Arial"/>
          <w:highlight w:val="yellow"/>
          <w:lang w:eastAsia="it-IT"/>
        </w:rPr>
        <w:br w:type="page"/>
      </w:r>
    </w:p>
    <w:p w:rsidR="00CF453B" w:rsidRPr="00302BC7" w:rsidRDefault="00CF453B" w:rsidP="0060354D">
      <w:pPr>
        <w:widowControl w:val="0"/>
        <w:autoSpaceDE w:val="0"/>
        <w:autoSpaceDN w:val="0"/>
        <w:adjustRightInd w:val="0"/>
        <w:spacing w:after="0" w:line="240" w:lineRule="auto"/>
        <w:ind w:left="851" w:right="283"/>
        <w:outlineLvl w:val="0"/>
        <w:rPr>
          <w:rFonts w:ascii="Arial" w:eastAsia="Times New Roman" w:hAnsi="Arial" w:cs="Arial"/>
          <w:highlight w:val="yellow"/>
          <w:lang w:eastAsia="it-IT"/>
        </w:rPr>
      </w:pPr>
    </w:p>
    <w:p w:rsidR="00CF453B" w:rsidRPr="00601CFB" w:rsidRDefault="00CF453B" w:rsidP="0060354D">
      <w:pPr>
        <w:widowControl w:val="0"/>
        <w:autoSpaceDE w:val="0"/>
        <w:autoSpaceDN w:val="0"/>
        <w:adjustRightInd w:val="0"/>
        <w:spacing w:after="0" w:line="240" w:lineRule="auto"/>
        <w:ind w:left="851" w:right="283"/>
        <w:jc w:val="center"/>
        <w:outlineLvl w:val="0"/>
        <w:rPr>
          <w:rFonts w:eastAsia="Times New Roman" w:cs="Arial"/>
          <w:lang w:eastAsia="it-IT"/>
        </w:rPr>
      </w:pPr>
      <w:r w:rsidRPr="00601CFB">
        <w:rPr>
          <w:rFonts w:eastAsia="Times New Roman" w:cs="Arial"/>
          <w:lang w:eastAsia="it-IT"/>
        </w:rPr>
        <w:t>*******</w:t>
      </w:r>
    </w:p>
    <w:p w:rsidR="00CF453B" w:rsidRPr="00601CFB" w:rsidRDefault="00CF453B" w:rsidP="0060354D">
      <w:pPr>
        <w:widowControl w:val="0"/>
        <w:autoSpaceDE w:val="0"/>
        <w:autoSpaceDN w:val="0"/>
        <w:adjustRightInd w:val="0"/>
        <w:spacing w:after="0" w:line="240" w:lineRule="auto"/>
        <w:ind w:left="851" w:right="283"/>
        <w:jc w:val="center"/>
        <w:outlineLvl w:val="0"/>
        <w:rPr>
          <w:rFonts w:eastAsia="Times New Roman" w:cs="Arial"/>
          <w:lang w:eastAsia="it-IT"/>
        </w:rPr>
      </w:pPr>
    </w:p>
    <w:p w:rsidR="00CF453B" w:rsidRPr="00601CFB" w:rsidRDefault="00302BC7" w:rsidP="0060354D">
      <w:pPr>
        <w:autoSpaceDE w:val="0"/>
        <w:autoSpaceDN w:val="0"/>
        <w:adjustRightInd w:val="0"/>
        <w:spacing w:after="0" w:line="240" w:lineRule="auto"/>
        <w:ind w:left="851" w:right="283"/>
        <w:jc w:val="center"/>
        <w:rPr>
          <w:rFonts w:eastAsia="Times New Roman" w:cs="Arial"/>
          <w:i/>
          <w:u w:val="single"/>
        </w:rPr>
      </w:pPr>
      <w:r w:rsidRPr="00601CFB">
        <w:rPr>
          <w:rFonts w:eastAsia="Times New Roman" w:cs="Arial"/>
          <w:i/>
          <w:u w:val="single"/>
        </w:rPr>
        <w:t>Attesta</w:t>
      </w:r>
      <w:r w:rsidR="00CF453B" w:rsidRPr="00601CFB">
        <w:rPr>
          <w:rFonts w:eastAsia="Times New Roman" w:cs="Arial"/>
          <w:i/>
          <w:u w:val="single"/>
        </w:rPr>
        <w:t>zione del Dirigente Preposto alla redazione dei documenti contabili societari</w:t>
      </w:r>
    </w:p>
    <w:p w:rsidR="00CF453B" w:rsidRPr="00601CFB" w:rsidRDefault="00CF453B" w:rsidP="0060354D">
      <w:pPr>
        <w:autoSpaceDE w:val="0"/>
        <w:autoSpaceDN w:val="0"/>
        <w:adjustRightInd w:val="0"/>
        <w:spacing w:after="0" w:line="240" w:lineRule="auto"/>
        <w:ind w:left="851" w:right="283"/>
        <w:jc w:val="both"/>
        <w:rPr>
          <w:rFonts w:eastAsia="Times New Roman" w:cs="Arial"/>
        </w:rPr>
      </w:pPr>
    </w:p>
    <w:p w:rsidR="00CF453B" w:rsidRPr="00601CFB" w:rsidRDefault="00CF453B" w:rsidP="0060354D">
      <w:pPr>
        <w:spacing w:after="0" w:line="240" w:lineRule="auto"/>
        <w:ind w:left="851" w:right="283"/>
        <w:jc w:val="both"/>
        <w:rPr>
          <w:rFonts w:eastAsia="Times New Roman" w:cs="Arial"/>
        </w:rPr>
      </w:pPr>
    </w:p>
    <w:p w:rsidR="00CF453B" w:rsidRPr="00601CFB" w:rsidRDefault="00CF453B" w:rsidP="0060354D">
      <w:pPr>
        <w:spacing w:after="0" w:line="240" w:lineRule="auto"/>
        <w:ind w:left="851" w:right="283"/>
        <w:jc w:val="both"/>
        <w:rPr>
          <w:rFonts w:eastAsia="Times New Roman" w:cs="Arial"/>
        </w:rPr>
      </w:pPr>
      <w:r w:rsidRPr="00601CFB">
        <w:rPr>
          <w:rFonts w:eastAsia="Times New Roman" w:cs="Arial"/>
        </w:rPr>
        <w:t>La sottoscritta Elena De Gennaro, in qualità di Dirigente Preposto alla redazione dei documenti contabili societari d</w:t>
      </w:r>
      <w:r w:rsidR="003D67E8" w:rsidRPr="00601CFB">
        <w:rPr>
          <w:rFonts w:eastAsia="Times New Roman" w:cs="Arial"/>
        </w:rPr>
        <w:t>i Medioc</w:t>
      </w:r>
      <w:r w:rsidRPr="00601CFB">
        <w:rPr>
          <w:rFonts w:eastAsia="Times New Roman" w:cs="Arial"/>
        </w:rPr>
        <w:t>redito Centrale</w:t>
      </w:r>
      <w:r w:rsidR="00302BC7" w:rsidRPr="00601CFB">
        <w:rPr>
          <w:rFonts w:eastAsia="Times New Roman" w:cs="Arial"/>
        </w:rPr>
        <w:t xml:space="preserve"> </w:t>
      </w:r>
      <w:r w:rsidRPr="00601CFB">
        <w:rPr>
          <w:rFonts w:eastAsia="Times New Roman" w:cs="Arial"/>
        </w:rPr>
        <w:t>S.p.A.</w:t>
      </w:r>
    </w:p>
    <w:p w:rsidR="00CF453B" w:rsidRPr="00601CFB" w:rsidRDefault="00CF453B" w:rsidP="0060354D">
      <w:pPr>
        <w:spacing w:after="0" w:line="240" w:lineRule="auto"/>
        <w:ind w:left="851" w:right="283"/>
        <w:jc w:val="both"/>
        <w:rPr>
          <w:rFonts w:eastAsia="Times New Roman" w:cs="Arial"/>
        </w:rPr>
      </w:pPr>
    </w:p>
    <w:p w:rsidR="00CF453B" w:rsidRPr="00601CFB" w:rsidRDefault="00D53D05" w:rsidP="0060354D">
      <w:pPr>
        <w:spacing w:after="0" w:line="240" w:lineRule="auto"/>
        <w:ind w:left="851" w:right="283"/>
        <w:jc w:val="center"/>
        <w:rPr>
          <w:rFonts w:eastAsia="Times New Roman" w:cs="Arial"/>
        </w:rPr>
      </w:pPr>
      <w:r>
        <w:rPr>
          <w:rFonts w:eastAsia="Times New Roman" w:cs="Arial"/>
        </w:rPr>
        <w:t>DICHIARA</w:t>
      </w:r>
    </w:p>
    <w:p w:rsidR="00CF453B" w:rsidRPr="00601CFB" w:rsidRDefault="00CF453B" w:rsidP="0060354D">
      <w:pPr>
        <w:spacing w:after="0" w:line="240" w:lineRule="auto"/>
        <w:ind w:left="851" w:right="283"/>
        <w:jc w:val="both"/>
        <w:rPr>
          <w:rFonts w:eastAsia="Times New Roman" w:cs="Arial"/>
        </w:rPr>
      </w:pPr>
    </w:p>
    <w:p w:rsidR="00CF453B" w:rsidRPr="00601CFB" w:rsidRDefault="00CF453B" w:rsidP="0060354D">
      <w:pPr>
        <w:spacing w:after="0" w:line="240" w:lineRule="auto"/>
        <w:ind w:left="851" w:right="283"/>
        <w:jc w:val="both"/>
        <w:rPr>
          <w:rFonts w:eastAsia="Times New Roman" w:cs="Arial"/>
        </w:rPr>
      </w:pPr>
      <w:r w:rsidRPr="00601CFB">
        <w:rPr>
          <w:rFonts w:eastAsia="Times New Roman" w:cs="Arial"/>
        </w:rPr>
        <w:t>in conformità a quanto previsto dal secondo comma dell’art. 154-</w:t>
      </w:r>
      <w:r w:rsidRPr="00601CFB">
        <w:rPr>
          <w:rFonts w:eastAsia="Times New Roman" w:cs="Arial"/>
          <w:i/>
        </w:rPr>
        <w:t>bis</w:t>
      </w:r>
      <w:r w:rsidRPr="00601CFB">
        <w:rPr>
          <w:rFonts w:eastAsia="Times New Roman" w:cs="Arial"/>
        </w:rPr>
        <w:t xml:space="preserve"> del Testo Unico della Finanza che l’informativa contabile contenuta nel presente comunicato corrisponde alle risultanze documentali, ai libri e alle scritture contabili.</w:t>
      </w:r>
    </w:p>
    <w:p w:rsidR="00CF453B" w:rsidRPr="00601CFB" w:rsidRDefault="00CF453B" w:rsidP="0060354D">
      <w:pPr>
        <w:spacing w:after="0" w:line="240" w:lineRule="auto"/>
        <w:ind w:left="851" w:right="283"/>
        <w:jc w:val="both"/>
        <w:rPr>
          <w:rFonts w:eastAsia="Times New Roman" w:cs="Arial"/>
        </w:rPr>
      </w:pPr>
    </w:p>
    <w:p w:rsidR="00CF453B" w:rsidRPr="00601CFB" w:rsidRDefault="00CF453B" w:rsidP="0060354D">
      <w:pPr>
        <w:spacing w:after="0" w:line="240" w:lineRule="auto"/>
        <w:ind w:left="851" w:right="283"/>
        <w:jc w:val="both"/>
        <w:rPr>
          <w:rFonts w:eastAsia="Times New Roman" w:cs="Arial"/>
        </w:rPr>
      </w:pPr>
    </w:p>
    <w:p w:rsidR="00CF453B" w:rsidRPr="00601CFB" w:rsidRDefault="00CF453B" w:rsidP="003D14FE">
      <w:pPr>
        <w:spacing w:after="0" w:line="240" w:lineRule="auto"/>
        <w:ind w:left="5387" w:right="283"/>
        <w:jc w:val="both"/>
        <w:rPr>
          <w:rFonts w:eastAsia="Times New Roman" w:cs="Arial"/>
        </w:rPr>
      </w:pPr>
      <w:r w:rsidRPr="00601CFB">
        <w:rPr>
          <w:rFonts w:eastAsia="Times New Roman" w:cs="Arial"/>
        </w:rPr>
        <w:t xml:space="preserve"> Il Dirigente Preposto alla redazione</w:t>
      </w:r>
    </w:p>
    <w:p w:rsidR="00CF453B" w:rsidRPr="00601CFB" w:rsidRDefault="00CF453B" w:rsidP="003D14FE">
      <w:pPr>
        <w:spacing w:after="0" w:line="240" w:lineRule="auto"/>
        <w:ind w:left="5387" w:right="283"/>
        <w:jc w:val="both"/>
        <w:rPr>
          <w:rFonts w:eastAsia="Times New Roman" w:cs="Arial"/>
        </w:rPr>
      </w:pPr>
      <w:r w:rsidRPr="00601CFB">
        <w:rPr>
          <w:rFonts w:eastAsia="Times New Roman" w:cs="Arial"/>
        </w:rPr>
        <w:t xml:space="preserve">  dei documenti contabili societari</w:t>
      </w:r>
    </w:p>
    <w:p w:rsidR="00CF453B" w:rsidRPr="00601CFB" w:rsidRDefault="00CF453B" w:rsidP="003D14FE">
      <w:pPr>
        <w:spacing w:after="0" w:line="240" w:lineRule="auto"/>
        <w:ind w:left="5387" w:right="283"/>
        <w:jc w:val="both"/>
        <w:rPr>
          <w:rFonts w:eastAsia="Times New Roman" w:cs="Arial"/>
        </w:rPr>
      </w:pPr>
      <w:r w:rsidRPr="00601CFB">
        <w:rPr>
          <w:rFonts w:eastAsia="Times New Roman" w:cs="Arial"/>
        </w:rPr>
        <w:t xml:space="preserve">            ELENA DE GENNARO</w:t>
      </w:r>
    </w:p>
    <w:p w:rsidR="00CF453B" w:rsidRPr="00601CFB" w:rsidRDefault="00CF453B" w:rsidP="0060354D">
      <w:pPr>
        <w:spacing w:after="0" w:line="240" w:lineRule="auto"/>
        <w:ind w:left="851" w:right="283"/>
        <w:jc w:val="both"/>
        <w:rPr>
          <w:rFonts w:eastAsia="Times New Roman" w:cs="Arial"/>
        </w:rPr>
      </w:pPr>
    </w:p>
    <w:p w:rsidR="00866984" w:rsidRPr="00601CFB" w:rsidRDefault="0088545C" w:rsidP="0060354D">
      <w:pPr>
        <w:spacing w:after="0" w:line="240" w:lineRule="auto"/>
        <w:ind w:left="851" w:right="283"/>
        <w:jc w:val="both"/>
        <w:rPr>
          <w:rFonts w:eastAsia="Times New Roman" w:cs="Arial"/>
          <w:lang w:eastAsia="it-IT"/>
        </w:rPr>
      </w:pPr>
      <w:r>
        <w:rPr>
          <w:rFonts w:eastAsia="Times New Roman" w:cs="Arial"/>
        </w:rPr>
        <w:t>Roma, 21</w:t>
      </w:r>
      <w:r w:rsidR="00D53D05">
        <w:rPr>
          <w:rFonts w:eastAsia="Times New Roman" w:cs="Arial"/>
        </w:rPr>
        <w:t xml:space="preserve"> </w:t>
      </w:r>
      <w:r>
        <w:rPr>
          <w:rFonts w:eastAsia="Times New Roman" w:cs="Arial"/>
        </w:rPr>
        <w:t>maggio 2019</w:t>
      </w:r>
    </w:p>
    <w:p w:rsidR="00866984" w:rsidRPr="00601CFB" w:rsidRDefault="00866984" w:rsidP="0060354D">
      <w:pPr>
        <w:spacing w:after="0" w:line="240" w:lineRule="auto"/>
        <w:ind w:left="851" w:right="283"/>
        <w:jc w:val="both"/>
        <w:rPr>
          <w:rFonts w:eastAsia="Times New Roman" w:cs="Arial"/>
        </w:rPr>
      </w:pPr>
    </w:p>
    <w:p w:rsidR="00866984" w:rsidRPr="00601CFB" w:rsidRDefault="00866984" w:rsidP="0060354D">
      <w:pPr>
        <w:spacing w:after="0" w:line="240" w:lineRule="auto"/>
        <w:ind w:left="851" w:right="283"/>
        <w:jc w:val="both"/>
        <w:rPr>
          <w:rFonts w:eastAsia="Times New Roman" w:cs="Arial"/>
        </w:rPr>
      </w:pPr>
    </w:p>
    <w:p w:rsidR="00866984" w:rsidRPr="00601CFB" w:rsidRDefault="00866984" w:rsidP="0060354D">
      <w:pPr>
        <w:spacing w:after="0" w:line="240" w:lineRule="auto"/>
        <w:ind w:left="851" w:right="283"/>
        <w:jc w:val="both"/>
        <w:rPr>
          <w:rFonts w:eastAsia="Times New Roman" w:cs="Arial"/>
        </w:rPr>
      </w:pPr>
    </w:p>
    <w:p w:rsidR="00866984" w:rsidRDefault="00866984" w:rsidP="0060354D">
      <w:pPr>
        <w:spacing w:after="0" w:line="240" w:lineRule="auto"/>
        <w:ind w:left="851" w:right="283"/>
        <w:jc w:val="both"/>
        <w:rPr>
          <w:rFonts w:eastAsia="Times New Roman" w:cs="Arial"/>
        </w:rPr>
      </w:pPr>
    </w:p>
    <w:p w:rsidR="00601CFB" w:rsidRDefault="00601CFB" w:rsidP="0060354D">
      <w:pPr>
        <w:spacing w:after="0" w:line="240" w:lineRule="auto"/>
        <w:ind w:left="851" w:right="283"/>
        <w:jc w:val="both"/>
        <w:rPr>
          <w:rFonts w:eastAsia="Times New Roman" w:cs="Arial"/>
        </w:rPr>
      </w:pPr>
    </w:p>
    <w:p w:rsidR="00601CFB" w:rsidRDefault="00601CFB" w:rsidP="0060354D">
      <w:pPr>
        <w:spacing w:after="0" w:line="240" w:lineRule="auto"/>
        <w:ind w:left="851" w:right="283"/>
        <w:jc w:val="both"/>
        <w:rPr>
          <w:rFonts w:eastAsia="Times New Roman" w:cs="Arial"/>
        </w:rPr>
      </w:pPr>
    </w:p>
    <w:p w:rsidR="00601CFB" w:rsidRPr="00601CFB" w:rsidRDefault="00601CFB" w:rsidP="0060354D">
      <w:pPr>
        <w:spacing w:after="0" w:line="240" w:lineRule="auto"/>
        <w:ind w:left="851" w:right="283"/>
        <w:jc w:val="both"/>
        <w:rPr>
          <w:rFonts w:eastAsia="Times New Roman" w:cs="Arial"/>
        </w:rPr>
      </w:pPr>
    </w:p>
    <w:p w:rsidR="00866984" w:rsidRPr="00601CFB" w:rsidRDefault="00866984" w:rsidP="0060354D">
      <w:pPr>
        <w:spacing w:after="0" w:line="240" w:lineRule="auto"/>
        <w:ind w:left="851" w:right="283"/>
        <w:jc w:val="both"/>
        <w:rPr>
          <w:rFonts w:eastAsia="Times New Roman" w:cs="Arial"/>
        </w:rPr>
      </w:pPr>
    </w:p>
    <w:p w:rsidR="00866984" w:rsidRPr="00601CFB" w:rsidRDefault="00866984" w:rsidP="0060354D">
      <w:pPr>
        <w:spacing w:after="0" w:line="240" w:lineRule="auto"/>
        <w:ind w:left="851" w:right="283"/>
        <w:jc w:val="both"/>
        <w:rPr>
          <w:rFonts w:eastAsia="Times New Roman" w:cs="Arial"/>
        </w:rPr>
      </w:pPr>
    </w:p>
    <w:p w:rsidR="00866984" w:rsidRPr="00601CFB" w:rsidRDefault="00866984" w:rsidP="0060354D">
      <w:pPr>
        <w:spacing w:after="0" w:line="240" w:lineRule="auto"/>
        <w:ind w:left="851" w:right="283"/>
        <w:jc w:val="both"/>
        <w:rPr>
          <w:rFonts w:eastAsia="Times New Roman" w:cs="Arial"/>
        </w:rPr>
      </w:pPr>
    </w:p>
    <w:p w:rsidR="00CF453B" w:rsidRPr="00601CFB" w:rsidRDefault="00CF453B" w:rsidP="0060354D">
      <w:pPr>
        <w:spacing w:after="0" w:line="240" w:lineRule="auto"/>
        <w:ind w:left="851" w:right="283"/>
        <w:jc w:val="both"/>
        <w:rPr>
          <w:rFonts w:eastAsia="Times New Roman" w:cs="Arial"/>
          <w:lang w:eastAsia="it-IT"/>
        </w:rPr>
      </w:pPr>
    </w:p>
    <w:p w:rsidR="00CF453B" w:rsidRPr="00601CFB" w:rsidRDefault="00CF453B" w:rsidP="0060354D">
      <w:pPr>
        <w:spacing w:after="0" w:line="240" w:lineRule="auto"/>
        <w:ind w:left="851" w:right="283"/>
        <w:jc w:val="both"/>
        <w:rPr>
          <w:rFonts w:eastAsia="Arial Unicode MS" w:cs="Arial"/>
        </w:rPr>
      </w:pPr>
      <w:r w:rsidRPr="00601CFB">
        <w:rPr>
          <w:rFonts w:eastAsia="Arial Unicode MS" w:cs="Arial"/>
        </w:rPr>
        <w:t>________________________</w:t>
      </w:r>
    </w:p>
    <w:p w:rsidR="00302BC7" w:rsidRPr="00302BC7" w:rsidRDefault="00302BC7" w:rsidP="0060354D">
      <w:pPr>
        <w:spacing w:after="0" w:line="240" w:lineRule="auto"/>
        <w:ind w:left="851" w:right="283"/>
        <w:jc w:val="both"/>
        <w:rPr>
          <w:rFonts w:eastAsia="Arial Unicode MS" w:cs="Arial"/>
        </w:rPr>
      </w:pPr>
      <w:bookmarkStart w:id="3" w:name="_Toc513733686"/>
      <w:bookmarkStart w:id="4" w:name="_Toc513734026"/>
      <w:bookmarkEnd w:id="0"/>
      <w:bookmarkEnd w:id="1"/>
      <w:bookmarkEnd w:id="2"/>
      <w:r w:rsidRPr="00302BC7">
        <w:rPr>
          <w:rFonts w:eastAsia="Arial Unicode MS" w:cs="Arial"/>
        </w:rPr>
        <w:t>Per maggiori informazioni:</w:t>
      </w:r>
    </w:p>
    <w:p w:rsidR="00302BC7" w:rsidRPr="00302BC7" w:rsidRDefault="00302BC7" w:rsidP="0060354D">
      <w:pPr>
        <w:spacing w:after="0" w:line="240" w:lineRule="auto"/>
        <w:ind w:left="851" w:right="283"/>
        <w:jc w:val="both"/>
        <w:rPr>
          <w:rFonts w:eastAsia="Arial Unicode MS" w:cs="Arial"/>
        </w:rPr>
      </w:pPr>
      <w:r w:rsidRPr="00302BC7">
        <w:rPr>
          <w:rFonts w:eastAsia="Arial Unicode MS" w:cs="Arial"/>
        </w:rPr>
        <w:t>Direzione Amministrazione, Controllo e Finanza</w:t>
      </w:r>
    </w:p>
    <w:p w:rsidR="00302BC7" w:rsidRPr="00302BC7" w:rsidRDefault="00302BC7" w:rsidP="0060354D">
      <w:pPr>
        <w:spacing w:after="0" w:line="240" w:lineRule="auto"/>
        <w:ind w:left="851" w:right="283"/>
        <w:jc w:val="both"/>
        <w:rPr>
          <w:rFonts w:eastAsia="Arial Unicode MS" w:cs="Arial"/>
        </w:rPr>
      </w:pPr>
      <w:r w:rsidRPr="00302BC7">
        <w:rPr>
          <w:rFonts w:eastAsia="Arial Unicode MS" w:cs="Arial"/>
        </w:rPr>
        <w:t>Elena De Gennaro</w:t>
      </w:r>
    </w:p>
    <w:p w:rsidR="00302BC7" w:rsidRPr="00302BC7" w:rsidRDefault="00302BC7" w:rsidP="0060354D">
      <w:pPr>
        <w:spacing w:after="0" w:line="240" w:lineRule="auto"/>
        <w:ind w:left="851" w:right="283"/>
        <w:jc w:val="both"/>
        <w:rPr>
          <w:rFonts w:eastAsia="Arial Unicode MS" w:cs="Arial"/>
        </w:rPr>
      </w:pPr>
      <w:r w:rsidRPr="00302BC7">
        <w:rPr>
          <w:rFonts w:eastAsia="Arial Unicode MS" w:cs="Arial"/>
        </w:rPr>
        <w:t>Tel: 06 4791 2100</w:t>
      </w:r>
    </w:p>
    <w:p w:rsidR="00302BC7" w:rsidRPr="00302BC7" w:rsidRDefault="00302BC7" w:rsidP="0060354D">
      <w:pPr>
        <w:spacing w:after="0" w:line="240" w:lineRule="auto"/>
        <w:ind w:left="851" w:right="283"/>
        <w:jc w:val="both"/>
        <w:rPr>
          <w:rFonts w:eastAsia="Arial Unicode MS" w:cs="Arial"/>
        </w:rPr>
      </w:pPr>
      <w:r w:rsidRPr="00302BC7">
        <w:rPr>
          <w:rFonts w:eastAsia="Arial Unicode MS" w:cs="Arial"/>
        </w:rPr>
        <w:t xml:space="preserve">e-mail: </w:t>
      </w:r>
      <w:hyperlink r:id="rId8" w:history="1">
        <w:r w:rsidRPr="00601CFB">
          <w:rPr>
            <w:rFonts w:eastAsia="Arial Unicode MS" w:cs="Arial"/>
            <w:color w:val="0000FF"/>
            <w:u w:val="single"/>
          </w:rPr>
          <w:t>Elena.DeGennaro@mcc.it</w:t>
        </w:r>
      </w:hyperlink>
    </w:p>
    <w:p w:rsidR="00302BC7" w:rsidRPr="00302BC7" w:rsidRDefault="00302BC7" w:rsidP="0060354D">
      <w:pPr>
        <w:spacing w:after="0" w:line="240" w:lineRule="auto"/>
        <w:ind w:left="851" w:right="283"/>
        <w:jc w:val="both"/>
        <w:rPr>
          <w:rFonts w:eastAsia="Arial Unicode MS" w:cs="Arial"/>
        </w:rPr>
      </w:pPr>
    </w:p>
    <w:p w:rsidR="00302BC7" w:rsidRPr="00302BC7" w:rsidRDefault="00302BC7" w:rsidP="0060354D">
      <w:pPr>
        <w:spacing w:after="0" w:line="240" w:lineRule="auto"/>
        <w:ind w:left="851" w:right="283"/>
        <w:jc w:val="both"/>
        <w:rPr>
          <w:rFonts w:eastAsia="Arial Unicode MS" w:cs="Arial"/>
        </w:rPr>
      </w:pPr>
    </w:p>
    <w:p w:rsidR="00302BC7" w:rsidRPr="00302BC7" w:rsidRDefault="00302BC7" w:rsidP="0060354D">
      <w:pPr>
        <w:spacing w:after="0" w:line="240" w:lineRule="auto"/>
        <w:ind w:left="851" w:right="283"/>
        <w:jc w:val="both"/>
        <w:rPr>
          <w:rFonts w:eastAsia="Arial Unicode MS" w:cs="Arial"/>
        </w:rPr>
      </w:pPr>
      <w:r w:rsidRPr="00302BC7">
        <w:rPr>
          <w:rFonts w:eastAsia="Arial Unicode MS" w:cs="Arial"/>
        </w:rPr>
        <w:t>Area Affari Societari e Segreteria Tecnica</w:t>
      </w:r>
    </w:p>
    <w:p w:rsidR="00302BC7" w:rsidRPr="00302BC7" w:rsidRDefault="00302BC7" w:rsidP="0060354D">
      <w:pPr>
        <w:spacing w:after="0" w:line="240" w:lineRule="auto"/>
        <w:ind w:left="851" w:right="283"/>
        <w:jc w:val="both"/>
        <w:rPr>
          <w:rFonts w:eastAsia="Arial Unicode MS" w:cs="Arial"/>
        </w:rPr>
      </w:pPr>
      <w:r w:rsidRPr="00302BC7">
        <w:rPr>
          <w:rFonts w:eastAsia="Arial Unicode MS" w:cs="Arial"/>
        </w:rPr>
        <w:t>Marco Giostra</w:t>
      </w:r>
    </w:p>
    <w:p w:rsidR="00302BC7" w:rsidRPr="00302BC7" w:rsidRDefault="00302BC7" w:rsidP="0060354D">
      <w:pPr>
        <w:spacing w:after="0" w:line="240" w:lineRule="auto"/>
        <w:ind w:left="851" w:right="283"/>
        <w:jc w:val="both"/>
        <w:rPr>
          <w:rFonts w:eastAsia="Arial Unicode MS" w:cs="Arial"/>
        </w:rPr>
      </w:pPr>
      <w:r w:rsidRPr="00302BC7">
        <w:rPr>
          <w:rFonts w:eastAsia="Arial Unicode MS" w:cs="Arial"/>
        </w:rPr>
        <w:t>Tel.: 06 4791 3172</w:t>
      </w:r>
    </w:p>
    <w:p w:rsidR="00302BC7" w:rsidRPr="00601CFB" w:rsidRDefault="00302BC7" w:rsidP="0060354D">
      <w:pPr>
        <w:spacing w:after="0" w:line="240" w:lineRule="auto"/>
        <w:ind w:left="851" w:right="283"/>
        <w:jc w:val="both"/>
        <w:rPr>
          <w:rFonts w:eastAsia="Calibri" w:cs="Arial"/>
          <w:color w:val="0000FF"/>
          <w:u w:val="single"/>
        </w:rPr>
      </w:pPr>
      <w:r w:rsidRPr="00302BC7">
        <w:rPr>
          <w:rFonts w:eastAsia="Arial Unicode MS" w:cs="Arial"/>
        </w:rPr>
        <w:t xml:space="preserve">e-mail: </w:t>
      </w:r>
      <w:hyperlink r:id="rId9" w:history="1">
        <w:r w:rsidRPr="00601CFB">
          <w:rPr>
            <w:rFonts w:eastAsia="Arial Unicode MS" w:cs="Arial"/>
            <w:color w:val="0000FF"/>
            <w:u w:val="single"/>
          </w:rPr>
          <w:t>Marco.Giostra@mcc.it</w:t>
        </w:r>
      </w:hyperlink>
    </w:p>
    <w:p w:rsidR="00302BC7" w:rsidRPr="00601CFB" w:rsidRDefault="00302BC7" w:rsidP="0060354D">
      <w:pPr>
        <w:spacing w:after="0" w:line="240" w:lineRule="auto"/>
        <w:ind w:left="851" w:right="283"/>
        <w:jc w:val="both"/>
        <w:rPr>
          <w:rFonts w:eastAsia="Arial Unicode MS" w:cs="Arial"/>
          <w:color w:val="0000FF"/>
          <w:u w:val="single"/>
        </w:rPr>
      </w:pPr>
    </w:p>
    <w:p w:rsidR="00302BC7" w:rsidRPr="00302BC7" w:rsidRDefault="00302BC7" w:rsidP="0060354D">
      <w:pPr>
        <w:spacing w:after="0" w:line="240" w:lineRule="auto"/>
        <w:ind w:left="851" w:right="283"/>
        <w:rPr>
          <w:rFonts w:eastAsia="Calibri" w:cs="Arial"/>
        </w:rPr>
      </w:pPr>
    </w:p>
    <w:p w:rsidR="00302BC7" w:rsidRPr="00601CFB" w:rsidRDefault="00302BC7" w:rsidP="009D63DF">
      <w:pPr>
        <w:spacing w:after="0" w:line="240" w:lineRule="auto"/>
        <w:ind w:left="851" w:right="283"/>
        <w:jc w:val="center"/>
        <w:rPr>
          <w:rFonts w:eastAsia="Arial Unicode MS" w:cs="Arial"/>
          <w:color w:val="0000FF"/>
          <w:u w:val="single"/>
        </w:rPr>
      </w:pPr>
      <w:r w:rsidRPr="00302BC7">
        <w:rPr>
          <w:rFonts w:eastAsia="Arial Unicode MS" w:cs="Arial"/>
        </w:rPr>
        <w:t>Mediocredito Centrale</w:t>
      </w:r>
      <w:r w:rsidR="004B77A1">
        <w:rPr>
          <w:rFonts w:eastAsia="Arial Unicode MS" w:cs="Arial"/>
        </w:rPr>
        <w:t xml:space="preserve"> - </w:t>
      </w:r>
      <w:bookmarkStart w:id="5" w:name="_GoBack"/>
      <w:bookmarkEnd w:id="5"/>
      <w:r w:rsidR="009D63DF">
        <w:rPr>
          <w:rFonts w:eastAsia="Arial Unicode MS" w:cs="Arial"/>
        </w:rPr>
        <w:t>Banca del Mezzogiorno</w:t>
      </w:r>
      <w:r w:rsidR="003F25C3">
        <w:rPr>
          <w:rFonts w:eastAsia="Arial Unicode MS" w:cs="Arial"/>
        </w:rPr>
        <w:t xml:space="preserve"> S.p.A.</w:t>
      </w:r>
      <w:r w:rsidRPr="00302BC7">
        <w:rPr>
          <w:rFonts w:eastAsia="Arial Unicode MS" w:cs="Arial"/>
        </w:rPr>
        <w:t>, Viale America</w:t>
      </w:r>
      <w:r w:rsidR="0049079A">
        <w:rPr>
          <w:rFonts w:eastAsia="Arial Unicode MS" w:cs="Arial"/>
        </w:rPr>
        <w:t xml:space="preserve"> n.</w:t>
      </w:r>
      <w:r w:rsidR="00767E3C">
        <w:rPr>
          <w:rFonts w:eastAsia="Arial Unicode MS" w:cs="Arial"/>
        </w:rPr>
        <w:t xml:space="preserve"> </w:t>
      </w:r>
      <w:r w:rsidRPr="00302BC7">
        <w:rPr>
          <w:rFonts w:eastAsia="Arial Unicode MS" w:cs="Arial"/>
        </w:rPr>
        <w:t xml:space="preserve">351 (00144 Roma) </w:t>
      </w:r>
      <w:hyperlink r:id="rId10" w:history="1">
        <w:r w:rsidRPr="00601CFB">
          <w:rPr>
            <w:rFonts w:eastAsia="Arial Unicode MS" w:cs="Arial"/>
            <w:color w:val="0000FF"/>
            <w:u w:val="single"/>
          </w:rPr>
          <w:t>www.mcc.it</w:t>
        </w:r>
      </w:hyperlink>
    </w:p>
    <w:p w:rsidR="00302BC7" w:rsidRPr="00302BC7" w:rsidRDefault="00302BC7" w:rsidP="0060354D">
      <w:pPr>
        <w:ind w:left="851" w:right="283"/>
        <w:rPr>
          <w:rFonts w:ascii="Arial" w:eastAsia="Arial Unicode MS" w:hAnsi="Arial" w:cs="Arial"/>
          <w:color w:val="0000FF"/>
          <w:u w:val="single"/>
        </w:rPr>
      </w:pPr>
      <w:r w:rsidRPr="00302BC7">
        <w:rPr>
          <w:rFonts w:ascii="Arial" w:eastAsia="Arial Unicode MS" w:hAnsi="Arial" w:cs="Arial"/>
          <w:color w:val="0000FF"/>
          <w:u w:val="single"/>
        </w:rPr>
        <w:br w:type="page"/>
      </w:r>
    </w:p>
    <w:p w:rsidR="00302BC7" w:rsidRPr="00302BC7" w:rsidRDefault="00302BC7" w:rsidP="0060354D">
      <w:pPr>
        <w:spacing w:after="0" w:line="240" w:lineRule="auto"/>
        <w:ind w:left="851" w:right="283"/>
        <w:rPr>
          <w:rFonts w:ascii="Calibri" w:eastAsia="Arial Unicode MS" w:hAnsi="Calibri" w:cs="Calibri"/>
        </w:rPr>
      </w:pPr>
    </w:p>
    <w:p w:rsidR="00866984" w:rsidRDefault="00866984" w:rsidP="0060354D">
      <w:pPr>
        <w:pStyle w:val="Titolo1"/>
        <w:ind w:left="851" w:right="283"/>
        <w:rPr>
          <w:rFonts w:cs="Arial"/>
          <w:b/>
          <w:bCs/>
          <w:color w:val="007D57"/>
        </w:rPr>
      </w:pPr>
    </w:p>
    <w:p w:rsidR="003D67E8" w:rsidRPr="00160068" w:rsidRDefault="003D67E8" w:rsidP="00F94AC9">
      <w:pPr>
        <w:pStyle w:val="Titolo1"/>
        <w:ind w:left="709" w:right="283"/>
        <w:rPr>
          <w:rFonts w:cs="Arial"/>
          <w:b/>
          <w:bCs/>
          <w:color w:val="007D57"/>
        </w:rPr>
      </w:pPr>
      <w:r w:rsidRPr="00160068">
        <w:rPr>
          <w:rFonts w:cs="Arial"/>
          <w:b/>
          <w:bCs/>
          <w:color w:val="007D57"/>
        </w:rPr>
        <w:t>STATO PATRIMONIALE</w:t>
      </w:r>
      <w:r>
        <w:rPr>
          <w:rFonts w:cs="Arial"/>
          <w:b/>
          <w:bCs/>
          <w:color w:val="007D57"/>
          <w:lang w:val="it-IT"/>
        </w:rPr>
        <w:t xml:space="preserve"> - ATTIVO</w:t>
      </w:r>
      <w:bookmarkEnd w:id="3"/>
      <w:bookmarkEnd w:id="4"/>
      <w:r w:rsidRPr="00160068">
        <w:rPr>
          <w:rFonts w:cs="Arial"/>
          <w:b/>
          <w:bCs/>
          <w:color w:val="007D57"/>
        </w:rPr>
        <w:t xml:space="preserve"> </w:t>
      </w:r>
    </w:p>
    <w:p w:rsidR="00980E0F" w:rsidRPr="00B82667" w:rsidRDefault="006439DC" w:rsidP="00980E0F">
      <w:pPr>
        <w:pStyle w:val="Titolo1"/>
        <w:ind w:right="283"/>
        <w:rPr>
          <w:rFonts w:cs="Arial"/>
          <w:b/>
          <w:bCs/>
          <w:color w:val="007D57"/>
        </w:rPr>
      </w:pPr>
      <w:r w:rsidRPr="00785C1C">
        <w:rPr>
          <w:rFonts w:cs="Arial"/>
          <w:b/>
          <w:bCs/>
          <w:color w:val="4F81BD"/>
          <w:sz w:val="28"/>
          <w:szCs w:val="28"/>
          <w:lang w:val="it-IT"/>
        </w:rPr>
        <w:t xml:space="preserve"> </w:t>
      </w:r>
    </w:p>
    <w:p w:rsidR="00B82667" w:rsidRPr="00B82667" w:rsidRDefault="00B82667" w:rsidP="00B82667">
      <w:pPr>
        <w:pStyle w:val="Titolo1"/>
        <w:ind w:right="283"/>
      </w:pPr>
    </w:p>
    <w:tbl>
      <w:tblPr>
        <w:tblW w:w="9470" w:type="dxa"/>
        <w:tblInd w:w="750" w:type="dxa"/>
        <w:tblBorders>
          <w:top w:val="single" w:sz="0" w:space="0" w:color="007D57"/>
          <w:left w:val="single" w:sz="0" w:space="0" w:color="007D57"/>
          <w:bottom w:val="single" w:sz="0" w:space="0" w:color="007D57"/>
          <w:right w:val="single" w:sz="0" w:space="0" w:color="007D57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"/>
        <w:gridCol w:w="6134"/>
        <w:gridCol w:w="1534"/>
        <w:gridCol w:w="1409"/>
      </w:tblGrid>
      <w:tr w:rsidR="00B82667" w:rsidRPr="00B82667" w:rsidTr="00707A64">
        <w:tc>
          <w:tcPr>
            <w:tcW w:w="6527" w:type="dxa"/>
            <w:gridSpan w:val="2"/>
            <w:tcBorders>
              <w:left w:val="single" w:sz="0" w:space="0" w:color="FFFFFF"/>
              <w:bottom w:val="single" w:sz="0" w:space="0" w:color="FFFFFF"/>
            </w:tcBorders>
            <w:shd w:val="clear" w:color="auto" w:fill="007D57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:rsidR="00B82667" w:rsidRPr="00B82667" w:rsidRDefault="00B82667" w:rsidP="00F94AC9">
            <w:pPr>
              <w:spacing w:after="0"/>
              <w:ind w:left="-19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b/>
                <w:color w:val="FFFFFF"/>
                <w:sz w:val="16"/>
                <w:lang w:eastAsia="it-IT"/>
              </w:rPr>
              <w:t>Voci dell'attivo</w:t>
            </w:r>
          </w:p>
        </w:tc>
        <w:tc>
          <w:tcPr>
            <w:tcW w:w="1534" w:type="dxa"/>
            <w:tcBorders>
              <w:left w:val="single" w:sz="0" w:space="0" w:color="FFFFFF"/>
              <w:bottom w:val="single" w:sz="0" w:space="0" w:color="FFFFFF"/>
            </w:tcBorders>
            <w:shd w:val="clear" w:color="auto" w:fill="007D57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b/>
                <w:color w:val="FFFFFF"/>
                <w:sz w:val="16"/>
                <w:lang w:eastAsia="it-IT"/>
              </w:rPr>
              <w:t>31.03.2019</w:t>
            </w:r>
          </w:p>
        </w:tc>
        <w:tc>
          <w:tcPr>
            <w:tcW w:w="1409" w:type="dxa"/>
            <w:tcBorders>
              <w:left w:val="single" w:sz="0" w:space="0" w:color="FFFFFF"/>
              <w:bottom w:val="single" w:sz="0" w:space="0" w:color="FFFFFF"/>
            </w:tcBorders>
            <w:shd w:val="clear" w:color="auto" w:fill="007D57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b/>
                <w:color w:val="FFFFFF"/>
                <w:sz w:val="16"/>
                <w:lang w:eastAsia="it-IT"/>
              </w:rPr>
              <w:t>31.12.2018</w:t>
            </w:r>
          </w:p>
        </w:tc>
      </w:tr>
      <w:tr w:rsidR="00B82667" w:rsidRPr="00B82667" w:rsidTr="00707A64">
        <w:tc>
          <w:tcPr>
            <w:tcW w:w="393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F94AC9">
            <w:pPr>
              <w:spacing w:after="0"/>
              <w:ind w:left="-19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10.</w:t>
            </w:r>
          </w:p>
        </w:tc>
        <w:tc>
          <w:tcPr>
            <w:tcW w:w="6131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F94AC9">
            <w:pPr>
              <w:spacing w:after="0"/>
              <w:ind w:left="-19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Cassa e disponibilità liquide</w:t>
            </w:r>
          </w:p>
        </w:tc>
        <w:tc>
          <w:tcPr>
            <w:tcW w:w="153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313.598</w:t>
            </w:r>
          </w:p>
        </w:tc>
        <w:tc>
          <w:tcPr>
            <w:tcW w:w="1409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25.018.540</w:t>
            </w:r>
          </w:p>
        </w:tc>
      </w:tr>
      <w:tr w:rsidR="00B82667" w:rsidRPr="00B82667" w:rsidTr="00707A64">
        <w:tc>
          <w:tcPr>
            <w:tcW w:w="393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F94AC9">
            <w:pPr>
              <w:spacing w:after="0"/>
              <w:ind w:left="-19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20.</w:t>
            </w:r>
          </w:p>
        </w:tc>
        <w:tc>
          <w:tcPr>
            <w:tcW w:w="6131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F94AC9">
            <w:pPr>
              <w:spacing w:after="0"/>
              <w:ind w:left="-19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 xml:space="preserve">Attività finanziarie valutate al fair </w:t>
            </w:r>
            <w:proofErr w:type="spellStart"/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value</w:t>
            </w:r>
            <w:proofErr w:type="spellEnd"/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 xml:space="preserve"> con impatto a conto economico</w:t>
            </w:r>
          </w:p>
        </w:tc>
        <w:tc>
          <w:tcPr>
            <w:tcW w:w="153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969</w:t>
            </w:r>
          </w:p>
        </w:tc>
        <w:tc>
          <w:tcPr>
            <w:tcW w:w="1409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969</w:t>
            </w:r>
          </w:p>
        </w:tc>
      </w:tr>
      <w:tr w:rsidR="00B82667" w:rsidRPr="00B82667" w:rsidTr="00707A64">
        <w:tc>
          <w:tcPr>
            <w:tcW w:w="393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F94AC9">
            <w:pPr>
              <w:spacing w:after="0"/>
              <w:ind w:left="-19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6131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F94AC9">
            <w:pPr>
              <w:spacing w:after="0"/>
              <w:ind w:left="-19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 xml:space="preserve">    a) attività finanziarie detenute per la negoziazione; </w:t>
            </w:r>
          </w:p>
        </w:tc>
        <w:tc>
          <w:tcPr>
            <w:tcW w:w="153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09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B82667" w:rsidRPr="00B82667" w:rsidTr="00707A64">
        <w:tc>
          <w:tcPr>
            <w:tcW w:w="393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F94AC9">
            <w:pPr>
              <w:spacing w:after="0"/>
              <w:ind w:left="-19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6131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F94AC9">
            <w:pPr>
              <w:spacing w:after="0"/>
              <w:ind w:left="-19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 xml:space="preserve">    b) attività finanziarie designate al fair </w:t>
            </w:r>
            <w:proofErr w:type="spellStart"/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value</w:t>
            </w:r>
            <w:proofErr w:type="spellEnd"/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;</w:t>
            </w:r>
          </w:p>
        </w:tc>
        <w:tc>
          <w:tcPr>
            <w:tcW w:w="153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09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B82667" w:rsidRPr="00B82667" w:rsidTr="00707A64">
        <w:tc>
          <w:tcPr>
            <w:tcW w:w="393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F94AC9">
            <w:pPr>
              <w:spacing w:after="0"/>
              <w:ind w:left="-19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6131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F94AC9">
            <w:pPr>
              <w:spacing w:after="0"/>
              <w:ind w:left="-19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 xml:space="preserve">    c) altre attività finanziarie obbligatoriamente valutate al fair </w:t>
            </w:r>
            <w:proofErr w:type="spellStart"/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value</w:t>
            </w:r>
            <w:proofErr w:type="spellEnd"/>
          </w:p>
        </w:tc>
        <w:tc>
          <w:tcPr>
            <w:tcW w:w="153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969</w:t>
            </w:r>
          </w:p>
        </w:tc>
        <w:tc>
          <w:tcPr>
            <w:tcW w:w="1409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969</w:t>
            </w:r>
          </w:p>
        </w:tc>
      </w:tr>
      <w:tr w:rsidR="00B82667" w:rsidRPr="00B82667" w:rsidTr="00707A64">
        <w:tc>
          <w:tcPr>
            <w:tcW w:w="393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F94AC9">
            <w:pPr>
              <w:spacing w:after="0"/>
              <w:ind w:left="-19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30.</w:t>
            </w:r>
          </w:p>
        </w:tc>
        <w:tc>
          <w:tcPr>
            <w:tcW w:w="6131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F94AC9">
            <w:pPr>
              <w:spacing w:after="0"/>
              <w:ind w:left="-19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 xml:space="preserve">Attività finanziarie valutate al fair </w:t>
            </w:r>
            <w:proofErr w:type="spellStart"/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value</w:t>
            </w:r>
            <w:proofErr w:type="spellEnd"/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 xml:space="preserve"> con impatto sulla redditività complessiva</w:t>
            </w:r>
          </w:p>
        </w:tc>
        <w:tc>
          <w:tcPr>
            <w:tcW w:w="153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714.036.575</w:t>
            </w:r>
          </w:p>
        </w:tc>
        <w:tc>
          <w:tcPr>
            <w:tcW w:w="1409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715.751.445</w:t>
            </w:r>
          </w:p>
        </w:tc>
      </w:tr>
      <w:tr w:rsidR="00B82667" w:rsidRPr="00B82667" w:rsidTr="00707A64">
        <w:tc>
          <w:tcPr>
            <w:tcW w:w="393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F94AC9">
            <w:pPr>
              <w:spacing w:after="0"/>
              <w:ind w:left="-19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40.</w:t>
            </w:r>
          </w:p>
        </w:tc>
        <w:tc>
          <w:tcPr>
            <w:tcW w:w="6131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F94AC9">
            <w:pPr>
              <w:spacing w:after="0"/>
              <w:ind w:left="-19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Attività finanziarie valutate al costo ammortizzato</w:t>
            </w:r>
          </w:p>
        </w:tc>
        <w:tc>
          <w:tcPr>
            <w:tcW w:w="153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1.504.696.510</w:t>
            </w:r>
          </w:p>
        </w:tc>
        <w:tc>
          <w:tcPr>
            <w:tcW w:w="1409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1.493.389.708</w:t>
            </w:r>
          </w:p>
        </w:tc>
      </w:tr>
      <w:tr w:rsidR="00B82667" w:rsidRPr="00B82667" w:rsidTr="00707A64">
        <w:tc>
          <w:tcPr>
            <w:tcW w:w="393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F94AC9">
            <w:pPr>
              <w:spacing w:after="0"/>
              <w:ind w:left="-19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6131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F94AC9">
            <w:pPr>
              <w:spacing w:after="0"/>
              <w:ind w:left="-19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 xml:space="preserve">  a) crediti verso banche</w:t>
            </w:r>
          </w:p>
        </w:tc>
        <w:tc>
          <w:tcPr>
            <w:tcW w:w="153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49.470.751</w:t>
            </w:r>
          </w:p>
        </w:tc>
        <w:tc>
          <w:tcPr>
            <w:tcW w:w="1409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62.510.392</w:t>
            </w:r>
          </w:p>
        </w:tc>
      </w:tr>
      <w:tr w:rsidR="00B82667" w:rsidRPr="00B82667" w:rsidTr="00707A64">
        <w:tc>
          <w:tcPr>
            <w:tcW w:w="393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F94AC9">
            <w:pPr>
              <w:spacing w:after="0"/>
              <w:ind w:left="-19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6131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F94AC9">
            <w:pPr>
              <w:spacing w:after="0"/>
              <w:ind w:left="-19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 xml:space="preserve">  b) crediti verso clientela</w:t>
            </w:r>
          </w:p>
        </w:tc>
        <w:tc>
          <w:tcPr>
            <w:tcW w:w="153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1.455.225.759</w:t>
            </w:r>
          </w:p>
        </w:tc>
        <w:tc>
          <w:tcPr>
            <w:tcW w:w="1409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1.430.879.316</w:t>
            </w:r>
          </w:p>
        </w:tc>
      </w:tr>
      <w:tr w:rsidR="00B82667" w:rsidRPr="00B82667" w:rsidTr="00707A64">
        <w:tc>
          <w:tcPr>
            <w:tcW w:w="393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F94AC9">
            <w:pPr>
              <w:spacing w:after="0"/>
              <w:ind w:left="-19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50.</w:t>
            </w:r>
          </w:p>
        </w:tc>
        <w:tc>
          <w:tcPr>
            <w:tcW w:w="6131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F94AC9">
            <w:pPr>
              <w:spacing w:after="0"/>
              <w:ind w:left="-19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Derivati di copertura</w:t>
            </w:r>
          </w:p>
        </w:tc>
        <w:tc>
          <w:tcPr>
            <w:tcW w:w="153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80.497.217</w:t>
            </w:r>
          </w:p>
        </w:tc>
        <w:tc>
          <w:tcPr>
            <w:tcW w:w="1409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82.649.638</w:t>
            </w:r>
          </w:p>
        </w:tc>
      </w:tr>
      <w:tr w:rsidR="00B82667" w:rsidRPr="00B82667" w:rsidTr="00707A64">
        <w:tc>
          <w:tcPr>
            <w:tcW w:w="393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F94AC9">
            <w:pPr>
              <w:spacing w:after="0"/>
              <w:ind w:left="-19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60.</w:t>
            </w:r>
          </w:p>
        </w:tc>
        <w:tc>
          <w:tcPr>
            <w:tcW w:w="6131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F94AC9">
            <w:pPr>
              <w:spacing w:after="0"/>
              <w:ind w:left="-19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 xml:space="preserve">Adeguamento di valore delle attività finanziarie oggetto di copertura </w:t>
            </w:r>
            <w:proofErr w:type="gramStart"/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generica  (</w:t>
            </w:r>
            <w:proofErr w:type="gramEnd"/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+/-)</w:t>
            </w:r>
          </w:p>
        </w:tc>
        <w:tc>
          <w:tcPr>
            <w:tcW w:w="153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09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B82667" w:rsidRPr="00B82667" w:rsidTr="00707A64">
        <w:tc>
          <w:tcPr>
            <w:tcW w:w="393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F94AC9">
            <w:pPr>
              <w:spacing w:after="0"/>
              <w:ind w:left="-19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70.</w:t>
            </w:r>
          </w:p>
        </w:tc>
        <w:tc>
          <w:tcPr>
            <w:tcW w:w="6131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F94AC9">
            <w:pPr>
              <w:spacing w:after="0"/>
              <w:ind w:left="-19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 xml:space="preserve">Partecipazioni </w:t>
            </w:r>
          </w:p>
        </w:tc>
        <w:tc>
          <w:tcPr>
            <w:tcW w:w="153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600.000</w:t>
            </w:r>
          </w:p>
        </w:tc>
        <w:tc>
          <w:tcPr>
            <w:tcW w:w="1409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600.000</w:t>
            </w:r>
          </w:p>
        </w:tc>
      </w:tr>
      <w:tr w:rsidR="00B82667" w:rsidRPr="00B82667" w:rsidTr="00707A64">
        <w:tc>
          <w:tcPr>
            <w:tcW w:w="393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F94AC9">
            <w:pPr>
              <w:spacing w:after="0"/>
              <w:ind w:left="-19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80.</w:t>
            </w:r>
          </w:p>
        </w:tc>
        <w:tc>
          <w:tcPr>
            <w:tcW w:w="6131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F94AC9">
            <w:pPr>
              <w:spacing w:after="0"/>
              <w:ind w:left="-19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Attività materiali</w:t>
            </w:r>
          </w:p>
        </w:tc>
        <w:tc>
          <w:tcPr>
            <w:tcW w:w="153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12.164.195</w:t>
            </w:r>
          </w:p>
        </w:tc>
        <w:tc>
          <w:tcPr>
            <w:tcW w:w="1409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625.565</w:t>
            </w:r>
          </w:p>
        </w:tc>
      </w:tr>
      <w:tr w:rsidR="00B82667" w:rsidRPr="00B82667" w:rsidTr="00707A64">
        <w:tc>
          <w:tcPr>
            <w:tcW w:w="393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F94AC9">
            <w:pPr>
              <w:spacing w:after="0"/>
              <w:ind w:left="-19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90.</w:t>
            </w:r>
          </w:p>
        </w:tc>
        <w:tc>
          <w:tcPr>
            <w:tcW w:w="6131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F94AC9">
            <w:pPr>
              <w:spacing w:after="0"/>
              <w:ind w:left="-19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Attività immateriali</w:t>
            </w:r>
          </w:p>
        </w:tc>
        <w:tc>
          <w:tcPr>
            <w:tcW w:w="153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2.002.434</w:t>
            </w:r>
          </w:p>
        </w:tc>
        <w:tc>
          <w:tcPr>
            <w:tcW w:w="1409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1.997.729</w:t>
            </w:r>
          </w:p>
        </w:tc>
      </w:tr>
      <w:tr w:rsidR="00B82667" w:rsidRPr="00B82667" w:rsidTr="00707A64">
        <w:tc>
          <w:tcPr>
            <w:tcW w:w="393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F94AC9">
            <w:pPr>
              <w:spacing w:after="0"/>
              <w:ind w:left="-19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6131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F94AC9">
            <w:pPr>
              <w:spacing w:after="0"/>
              <w:ind w:left="-19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 xml:space="preserve">     - avviamento</w:t>
            </w:r>
          </w:p>
        </w:tc>
        <w:tc>
          <w:tcPr>
            <w:tcW w:w="153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09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B82667" w:rsidRPr="00B82667" w:rsidTr="00707A64">
        <w:tc>
          <w:tcPr>
            <w:tcW w:w="393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F94AC9">
            <w:pPr>
              <w:spacing w:after="0"/>
              <w:ind w:left="-19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100.</w:t>
            </w:r>
          </w:p>
        </w:tc>
        <w:tc>
          <w:tcPr>
            <w:tcW w:w="6131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F94AC9">
            <w:pPr>
              <w:spacing w:after="0"/>
              <w:ind w:left="-19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Attività fiscali</w:t>
            </w:r>
          </w:p>
        </w:tc>
        <w:tc>
          <w:tcPr>
            <w:tcW w:w="153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16.447.637</w:t>
            </w:r>
          </w:p>
        </w:tc>
        <w:tc>
          <w:tcPr>
            <w:tcW w:w="1409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20.277.305</w:t>
            </w:r>
          </w:p>
        </w:tc>
      </w:tr>
      <w:tr w:rsidR="00B82667" w:rsidRPr="00B82667" w:rsidTr="00707A64">
        <w:tc>
          <w:tcPr>
            <w:tcW w:w="393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F94AC9">
            <w:pPr>
              <w:spacing w:after="0"/>
              <w:ind w:left="-19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6131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F94AC9">
            <w:pPr>
              <w:spacing w:after="0"/>
              <w:ind w:left="-19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 xml:space="preserve">    a) correnti</w:t>
            </w:r>
          </w:p>
        </w:tc>
        <w:tc>
          <w:tcPr>
            <w:tcW w:w="153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3.384.639</w:t>
            </w:r>
          </w:p>
        </w:tc>
        <w:tc>
          <w:tcPr>
            <w:tcW w:w="1409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5.424.640</w:t>
            </w:r>
          </w:p>
        </w:tc>
      </w:tr>
      <w:tr w:rsidR="00B82667" w:rsidRPr="00B82667" w:rsidTr="00707A64">
        <w:tc>
          <w:tcPr>
            <w:tcW w:w="393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F94AC9">
            <w:pPr>
              <w:spacing w:after="0"/>
              <w:ind w:left="-19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6131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F94AC9">
            <w:pPr>
              <w:spacing w:after="0"/>
              <w:ind w:left="-19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 xml:space="preserve">    b) anticipate</w:t>
            </w:r>
          </w:p>
        </w:tc>
        <w:tc>
          <w:tcPr>
            <w:tcW w:w="153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13.062.998</w:t>
            </w:r>
          </w:p>
        </w:tc>
        <w:tc>
          <w:tcPr>
            <w:tcW w:w="1409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14.852.665</w:t>
            </w:r>
          </w:p>
        </w:tc>
      </w:tr>
      <w:tr w:rsidR="00B82667" w:rsidRPr="00B82667" w:rsidTr="00707A64">
        <w:tc>
          <w:tcPr>
            <w:tcW w:w="393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F94AC9">
            <w:pPr>
              <w:spacing w:after="0"/>
              <w:ind w:left="-19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110.</w:t>
            </w:r>
          </w:p>
        </w:tc>
        <w:tc>
          <w:tcPr>
            <w:tcW w:w="6131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F94AC9">
            <w:pPr>
              <w:spacing w:after="0"/>
              <w:ind w:left="-19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 xml:space="preserve">Attività non correnti e gruppi di attività in via di dismissione </w:t>
            </w:r>
          </w:p>
        </w:tc>
        <w:tc>
          <w:tcPr>
            <w:tcW w:w="153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09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B82667" w:rsidRPr="00B82667" w:rsidTr="00707A64">
        <w:tc>
          <w:tcPr>
            <w:tcW w:w="393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F94AC9">
            <w:pPr>
              <w:spacing w:after="0"/>
              <w:ind w:left="-19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120.</w:t>
            </w:r>
          </w:p>
        </w:tc>
        <w:tc>
          <w:tcPr>
            <w:tcW w:w="6131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F94AC9">
            <w:pPr>
              <w:spacing w:after="0"/>
              <w:ind w:left="-19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Altre attività</w:t>
            </w:r>
          </w:p>
        </w:tc>
        <w:tc>
          <w:tcPr>
            <w:tcW w:w="153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16.319.032</w:t>
            </w:r>
          </w:p>
        </w:tc>
        <w:tc>
          <w:tcPr>
            <w:tcW w:w="1409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10.140.031</w:t>
            </w:r>
          </w:p>
        </w:tc>
      </w:tr>
      <w:tr w:rsidR="00B82667" w:rsidRPr="00B82667" w:rsidTr="00707A64">
        <w:tc>
          <w:tcPr>
            <w:tcW w:w="393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F94AC9">
            <w:pPr>
              <w:spacing w:after="0"/>
              <w:ind w:left="-19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6131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F94AC9">
            <w:pPr>
              <w:spacing w:after="0"/>
              <w:ind w:left="-19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b/>
                <w:color w:val="000000"/>
                <w:sz w:val="16"/>
                <w:lang w:eastAsia="it-IT"/>
              </w:rPr>
              <w:t>Totale dell'attivo</w:t>
            </w:r>
          </w:p>
        </w:tc>
        <w:tc>
          <w:tcPr>
            <w:tcW w:w="153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b/>
                <w:color w:val="000000"/>
                <w:sz w:val="16"/>
                <w:lang w:eastAsia="it-IT"/>
              </w:rPr>
              <w:t>2.347.078.167</w:t>
            </w:r>
          </w:p>
        </w:tc>
        <w:tc>
          <w:tcPr>
            <w:tcW w:w="1409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b/>
                <w:color w:val="000000"/>
                <w:sz w:val="16"/>
                <w:lang w:eastAsia="it-IT"/>
              </w:rPr>
              <w:t>2.350.450.930</w:t>
            </w:r>
          </w:p>
        </w:tc>
      </w:tr>
    </w:tbl>
    <w:p w:rsidR="00866984" w:rsidRPr="003115EE" w:rsidRDefault="006439DC" w:rsidP="00B82667">
      <w:pPr>
        <w:pStyle w:val="Titolo1"/>
        <w:ind w:right="-143"/>
        <w:rPr>
          <w:rFonts w:cs="Arial"/>
          <w:b/>
          <w:bCs/>
          <w:color w:val="007D57"/>
        </w:rPr>
      </w:pPr>
      <w:r w:rsidRPr="003115EE">
        <w:rPr>
          <w:rFonts w:cs="Arial"/>
          <w:b/>
          <w:bCs/>
          <w:color w:val="007D57"/>
        </w:rPr>
        <w:br w:type="page"/>
      </w:r>
      <w:bookmarkStart w:id="6" w:name="_Toc513733687"/>
      <w:bookmarkStart w:id="7" w:name="_Toc513734027"/>
    </w:p>
    <w:p w:rsidR="00A537D2" w:rsidRDefault="00A537D2" w:rsidP="00F94AC9">
      <w:pPr>
        <w:pStyle w:val="Titolo1"/>
        <w:ind w:left="709" w:right="283" w:hanging="1"/>
        <w:rPr>
          <w:rFonts w:cs="Arial"/>
          <w:b/>
          <w:bCs/>
          <w:color w:val="007D57"/>
          <w:lang w:val="it-IT"/>
        </w:rPr>
      </w:pPr>
    </w:p>
    <w:p w:rsidR="00A537D2" w:rsidRDefault="00A537D2" w:rsidP="00F94AC9">
      <w:pPr>
        <w:pStyle w:val="Titolo1"/>
        <w:ind w:left="709" w:right="283" w:hanging="1"/>
        <w:rPr>
          <w:rFonts w:cs="Arial"/>
          <w:b/>
          <w:bCs/>
          <w:color w:val="007D57"/>
          <w:lang w:val="it-IT"/>
        </w:rPr>
      </w:pPr>
    </w:p>
    <w:p w:rsidR="00980E0F" w:rsidRPr="00980E0F" w:rsidRDefault="003D67E8" w:rsidP="00707A64">
      <w:pPr>
        <w:rPr>
          <w:color w:val="007D57"/>
          <w:lang w:eastAsia="x-none"/>
        </w:rPr>
      </w:pPr>
      <w:r w:rsidRPr="00160068">
        <w:rPr>
          <w:rFonts w:cs="Arial"/>
          <w:b/>
          <w:bCs/>
          <w:color w:val="007D57"/>
        </w:rPr>
        <w:t>STATO PATRIMONIALE</w:t>
      </w:r>
      <w:r>
        <w:rPr>
          <w:rFonts w:cs="Arial"/>
          <w:b/>
          <w:bCs/>
          <w:color w:val="007D57"/>
        </w:rPr>
        <w:t xml:space="preserve"> - PASSIVO</w:t>
      </w:r>
      <w:bookmarkEnd w:id="6"/>
      <w:bookmarkEnd w:id="7"/>
      <w:r w:rsidRPr="00160068">
        <w:rPr>
          <w:rFonts w:cs="Arial"/>
          <w:b/>
          <w:bCs/>
          <w:color w:val="007D57"/>
        </w:rPr>
        <w:t xml:space="preserve"> </w:t>
      </w:r>
    </w:p>
    <w:tbl>
      <w:tblPr>
        <w:tblW w:w="9621" w:type="dxa"/>
        <w:tblInd w:w="567" w:type="dxa"/>
        <w:tblBorders>
          <w:top w:val="single" w:sz="0" w:space="0" w:color="007D57"/>
          <w:left w:val="single" w:sz="0" w:space="0" w:color="007D57"/>
          <w:bottom w:val="single" w:sz="0" w:space="0" w:color="007D57"/>
          <w:right w:val="single" w:sz="0" w:space="0" w:color="007D57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6202"/>
        <w:gridCol w:w="36"/>
        <w:gridCol w:w="1506"/>
        <w:gridCol w:w="36"/>
        <w:gridCol w:w="1379"/>
        <w:gridCol w:w="36"/>
      </w:tblGrid>
      <w:tr w:rsidR="00B82667" w:rsidRPr="00B82667" w:rsidTr="00707A64">
        <w:tc>
          <w:tcPr>
            <w:tcW w:w="6664" w:type="dxa"/>
            <w:gridSpan w:val="3"/>
            <w:tcBorders>
              <w:left w:val="single" w:sz="0" w:space="0" w:color="FFFFFF"/>
              <w:bottom w:val="single" w:sz="0" w:space="0" w:color="FFFFFF"/>
            </w:tcBorders>
            <w:shd w:val="clear" w:color="auto" w:fill="007D57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:rsidR="00B82667" w:rsidRPr="00B82667" w:rsidRDefault="00B82667" w:rsidP="00F94AC9">
            <w:pPr>
              <w:spacing w:after="0"/>
              <w:ind w:left="608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b/>
                <w:color w:val="FFFFFF"/>
                <w:sz w:val="16"/>
                <w:lang w:eastAsia="it-IT"/>
              </w:rPr>
              <w:t>Voci del passivo e del patrimonio netto</w:t>
            </w:r>
          </w:p>
        </w:tc>
        <w:tc>
          <w:tcPr>
            <w:tcW w:w="1542" w:type="dxa"/>
            <w:gridSpan w:val="2"/>
            <w:tcBorders>
              <w:left w:val="single" w:sz="0" w:space="0" w:color="FFFFFF"/>
              <w:bottom w:val="single" w:sz="0" w:space="0" w:color="FFFFFF"/>
            </w:tcBorders>
            <w:shd w:val="clear" w:color="auto" w:fill="007D57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b/>
                <w:color w:val="FFFFFF"/>
                <w:sz w:val="16"/>
                <w:lang w:eastAsia="it-IT"/>
              </w:rPr>
              <w:t>31.03.2019</w:t>
            </w:r>
          </w:p>
        </w:tc>
        <w:tc>
          <w:tcPr>
            <w:tcW w:w="1415" w:type="dxa"/>
            <w:gridSpan w:val="2"/>
            <w:tcBorders>
              <w:left w:val="single" w:sz="0" w:space="0" w:color="FFFFFF"/>
              <w:bottom w:val="single" w:sz="0" w:space="0" w:color="FFFFFF"/>
            </w:tcBorders>
            <w:shd w:val="clear" w:color="auto" w:fill="007D57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b/>
                <w:color w:val="FFFFFF"/>
                <w:sz w:val="16"/>
                <w:lang w:eastAsia="it-IT"/>
              </w:rPr>
              <w:t>31.12.2018</w:t>
            </w:r>
          </w:p>
        </w:tc>
      </w:tr>
      <w:tr w:rsidR="00B82667" w:rsidRPr="00B82667" w:rsidTr="00707A64">
        <w:trPr>
          <w:gridAfter w:val="1"/>
          <w:wAfter w:w="36" w:type="dxa"/>
        </w:trPr>
        <w:tc>
          <w:tcPr>
            <w:tcW w:w="42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10.</w:t>
            </w:r>
          </w:p>
        </w:tc>
        <w:tc>
          <w:tcPr>
            <w:tcW w:w="620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Passività finanziarie valutate al costo ammortizzato</w:t>
            </w:r>
          </w:p>
        </w:tc>
        <w:tc>
          <w:tcPr>
            <w:tcW w:w="1542" w:type="dxa"/>
            <w:gridSpan w:val="2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1.967.366.235</w:t>
            </w:r>
          </w:p>
        </w:tc>
        <w:tc>
          <w:tcPr>
            <w:tcW w:w="1415" w:type="dxa"/>
            <w:gridSpan w:val="2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1.985.601.291</w:t>
            </w:r>
          </w:p>
        </w:tc>
      </w:tr>
      <w:tr w:rsidR="00F94AC9" w:rsidRPr="00B82667" w:rsidTr="00707A64">
        <w:trPr>
          <w:gridAfter w:val="1"/>
          <w:wAfter w:w="36" w:type="dxa"/>
        </w:trPr>
        <w:tc>
          <w:tcPr>
            <w:tcW w:w="42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F94AC9" w:rsidRPr="00B82667" w:rsidRDefault="00F94AC9" w:rsidP="00B82667">
            <w:pPr>
              <w:spacing w:after="0"/>
              <w:jc w:val="center"/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</w:pPr>
          </w:p>
        </w:tc>
        <w:tc>
          <w:tcPr>
            <w:tcW w:w="620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F94AC9" w:rsidRPr="00B82667" w:rsidRDefault="00F94AC9" w:rsidP="00B82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</w:pPr>
          </w:p>
        </w:tc>
        <w:tc>
          <w:tcPr>
            <w:tcW w:w="1542" w:type="dxa"/>
            <w:gridSpan w:val="2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F94AC9" w:rsidRPr="00B82667" w:rsidRDefault="00F94AC9" w:rsidP="00B82667">
            <w:pPr>
              <w:spacing w:after="0"/>
              <w:jc w:val="right"/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</w:pPr>
          </w:p>
        </w:tc>
        <w:tc>
          <w:tcPr>
            <w:tcW w:w="1415" w:type="dxa"/>
            <w:gridSpan w:val="2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F94AC9" w:rsidRPr="00B82667" w:rsidRDefault="00F94AC9" w:rsidP="00B82667">
            <w:pPr>
              <w:spacing w:after="0"/>
              <w:jc w:val="right"/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</w:pPr>
          </w:p>
        </w:tc>
      </w:tr>
      <w:tr w:rsidR="00B82667" w:rsidRPr="00B82667" w:rsidTr="00707A64">
        <w:trPr>
          <w:gridAfter w:val="1"/>
          <w:wAfter w:w="36" w:type="dxa"/>
        </w:trPr>
        <w:tc>
          <w:tcPr>
            <w:tcW w:w="42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620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 xml:space="preserve">   a) debiti verso banche</w:t>
            </w:r>
          </w:p>
        </w:tc>
        <w:tc>
          <w:tcPr>
            <w:tcW w:w="1542" w:type="dxa"/>
            <w:gridSpan w:val="2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930.909.751</w:t>
            </w:r>
          </w:p>
        </w:tc>
        <w:tc>
          <w:tcPr>
            <w:tcW w:w="1415" w:type="dxa"/>
            <w:gridSpan w:val="2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892.752.597</w:t>
            </w:r>
          </w:p>
        </w:tc>
      </w:tr>
      <w:tr w:rsidR="00B82667" w:rsidRPr="00B82667" w:rsidTr="00707A64">
        <w:trPr>
          <w:gridAfter w:val="1"/>
          <w:wAfter w:w="36" w:type="dxa"/>
        </w:trPr>
        <w:tc>
          <w:tcPr>
            <w:tcW w:w="42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620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 xml:space="preserve">   b) debiti verso la clientela</w:t>
            </w:r>
          </w:p>
        </w:tc>
        <w:tc>
          <w:tcPr>
            <w:tcW w:w="1542" w:type="dxa"/>
            <w:gridSpan w:val="2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884.771.742</w:t>
            </w:r>
          </w:p>
        </w:tc>
        <w:tc>
          <w:tcPr>
            <w:tcW w:w="1415" w:type="dxa"/>
            <w:gridSpan w:val="2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796.149.883</w:t>
            </w:r>
          </w:p>
        </w:tc>
      </w:tr>
      <w:tr w:rsidR="00B82667" w:rsidRPr="00B82667" w:rsidTr="00707A64">
        <w:trPr>
          <w:gridAfter w:val="1"/>
          <w:wAfter w:w="36" w:type="dxa"/>
        </w:trPr>
        <w:tc>
          <w:tcPr>
            <w:tcW w:w="42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620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 xml:space="preserve">   c) titoli in circolazione</w:t>
            </w:r>
          </w:p>
        </w:tc>
        <w:tc>
          <w:tcPr>
            <w:tcW w:w="1542" w:type="dxa"/>
            <w:gridSpan w:val="2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151.684.742</w:t>
            </w:r>
          </w:p>
        </w:tc>
        <w:tc>
          <w:tcPr>
            <w:tcW w:w="1415" w:type="dxa"/>
            <w:gridSpan w:val="2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296.698.811</w:t>
            </w:r>
          </w:p>
        </w:tc>
      </w:tr>
      <w:tr w:rsidR="00B82667" w:rsidRPr="00B82667" w:rsidTr="00707A64">
        <w:trPr>
          <w:gridAfter w:val="1"/>
          <w:wAfter w:w="36" w:type="dxa"/>
        </w:trPr>
        <w:tc>
          <w:tcPr>
            <w:tcW w:w="42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20.</w:t>
            </w:r>
          </w:p>
        </w:tc>
        <w:tc>
          <w:tcPr>
            <w:tcW w:w="620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Passività finanziarie di negoziazione</w:t>
            </w:r>
          </w:p>
        </w:tc>
        <w:tc>
          <w:tcPr>
            <w:tcW w:w="1542" w:type="dxa"/>
            <w:gridSpan w:val="2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5" w:type="dxa"/>
            <w:gridSpan w:val="2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B82667" w:rsidRPr="00B82667" w:rsidTr="00707A64">
        <w:trPr>
          <w:gridAfter w:val="1"/>
          <w:wAfter w:w="36" w:type="dxa"/>
        </w:trPr>
        <w:tc>
          <w:tcPr>
            <w:tcW w:w="42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30.</w:t>
            </w:r>
          </w:p>
        </w:tc>
        <w:tc>
          <w:tcPr>
            <w:tcW w:w="620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 xml:space="preserve">Passività finanziarie designate al fair </w:t>
            </w:r>
            <w:proofErr w:type="spellStart"/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value</w:t>
            </w:r>
            <w:proofErr w:type="spellEnd"/>
          </w:p>
        </w:tc>
        <w:tc>
          <w:tcPr>
            <w:tcW w:w="1542" w:type="dxa"/>
            <w:gridSpan w:val="2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5" w:type="dxa"/>
            <w:gridSpan w:val="2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B82667" w:rsidRPr="00B82667" w:rsidTr="00707A64">
        <w:trPr>
          <w:gridAfter w:val="1"/>
          <w:wAfter w:w="36" w:type="dxa"/>
        </w:trPr>
        <w:tc>
          <w:tcPr>
            <w:tcW w:w="42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40.</w:t>
            </w:r>
          </w:p>
        </w:tc>
        <w:tc>
          <w:tcPr>
            <w:tcW w:w="620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Derivati di copertura</w:t>
            </w:r>
          </w:p>
        </w:tc>
        <w:tc>
          <w:tcPr>
            <w:tcW w:w="1542" w:type="dxa"/>
            <w:gridSpan w:val="2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5" w:type="dxa"/>
            <w:gridSpan w:val="2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B82667" w:rsidRPr="00B82667" w:rsidTr="00707A64">
        <w:trPr>
          <w:gridAfter w:val="1"/>
          <w:wAfter w:w="36" w:type="dxa"/>
        </w:trPr>
        <w:tc>
          <w:tcPr>
            <w:tcW w:w="42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50.</w:t>
            </w:r>
          </w:p>
        </w:tc>
        <w:tc>
          <w:tcPr>
            <w:tcW w:w="620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Adeguamento di valore delle passività finanziarie oggetto di copertura generica (+/-)</w:t>
            </w:r>
          </w:p>
        </w:tc>
        <w:tc>
          <w:tcPr>
            <w:tcW w:w="1542" w:type="dxa"/>
            <w:gridSpan w:val="2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79.441.029</w:t>
            </w:r>
          </w:p>
        </w:tc>
        <w:tc>
          <w:tcPr>
            <w:tcW w:w="1415" w:type="dxa"/>
            <w:gridSpan w:val="2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73.788.761</w:t>
            </w:r>
          </w:p>
        </w:tc>
      </w:tr>
      <w:tr w:rsidR="00B82667" w:rsidRPr="00B82667" w:rsidTr="00707A64">
        <w:trPr>
          <w:gridAfter w:val="1"/>
          <w:wAfter w:w="36" w:type="dxa"/>
        </w:trPr>
        <w:tc>
          <w:tcPr>
            <w:tcW w:w="42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60.</w:t>
            </w:r>
          </w:p>
        </w:tc>
        <w:tc>
          <w:tcPr>
            <w:tcW w:w="620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 xml:space="preserve">Passività fiscali </w:t>
            </w:r>
          </w:p>
        </w:tc>
        <w:tc>
          <w:tcPr>
            <w:tcW w:w="1542" w:type="dxa"/>
            <w:gridSpan w:val="2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110.479</w:t>
            </w:r>
          </w:p>
        </w:tc>
        <w:tc>
          <w:tcPr>
            <w:tcW w:w="1415" w:type="dxa"/>
            <w:gridSpan w:val="2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107.822</w:t>
            </w:r>
          </w:p>
        </w:tc>
      </w:tr>
      <w:tr w:rsidR="00B82667" w:rsidRPr="00B82667" w:rsidTr="00707A64">
        <w:trPr>
          <w:gridAfter w:val="1"/>
          <w:wAfter w:w="36" w:type="dxa"/>
        </w:trPr>
        <w:tc>
          <w:tcPr>
            <w:tcW w:w="42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620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 xml:space="preserve">   a) correnti</w:t>
            </w:r>
          </w:p>
        </w:tc>
        <w:tc>
          <w:tcPr>
            <w:tcW w:w="1542" w:type="dxa"/>
            <w:gridSpan w:val="2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5" w:type="dxa"/>
            <w:gridSpan w:val="2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B82667" w:rsidRPr="00B82667" w:rsidTr="00707A64">
        <w:trPr>
          <w:gridAfter w:val="1"/>
          <w:wAfter w:w="36" w:type="dxa"/>
        </w:trPr>
        <w:tc>
          <w:tcPr>
            <w:tcW w:w="42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620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 xml:space="preserve">   b) differite</w:t>
            </w:r>
          </w:p>
        </w:tc>
        <w:tc>
          <w:tcPr>
            <w:tcW w:w="1542" w:type="dxa"/>
            <w:gridSpan w:val="2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110.479</w:t>
            </w:r>
          </w:p>
        </w:tc>
        <w:tc>
          <w:tcPr>
            <w:tcW w:w="1415" w:type="dxa"/>
            <w:gridSpan w:val="2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107.822</w:t>
            </w:r>
          </w:p>
        </w:tc>
      </w:tr>
      <w:tr w:rsidR="00B82667" w:rsidRPr="00B82667" w:rsidTr="00707A64">
        <w:trPr>
          <w:gridAfter w:val="1"/>
          <w:wAfter w:w="36" w:type="dxa"/>
        </w:trPr>
        <w:tc>
          <w:tcPr>
            <w:tcW w:w="42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70.</w:t>
            </w:r>
          </w:p>
        </w:tc>
        <w:tc>
          <w:tcPr>
            <w:tcW w:w="620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Passività associate ad attività in via di dismissione</w:t>
            </w:r>
          </w:p>
        </w:tc>
        <w:tc>
          <w:tcPr>
            <w:tcW w:w="1542" w:type="dxa"/>
            <w:gridSpan w:val="2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5" w:type="dxa"/>
            <w:gridSpan w:val="2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B82667" w:rsidRPr="00B82667" w:rsidTr="00707A64">
        <w:trPr>
          <w:gridAfter w:val="1"/>
          <w:wAfter w:w="36" w:type="dxa"/>
        </w:trPr>
        <w:tc>
          <w:tcPr>
            <w:tcW w:w="42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80.</w:t>
            </w:r>
          </w:p>
        </w:tc>
        <w:tc>
          <w:tcPr>
            <w:tcW w:w="620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Altre passività</w:t>
            </w:r>
          </w:p>
        </w:tc>
        <w:tc>
          <w:tcPr>
            <w:tcW w:w="1542" w:type="dxa"/>
            <w:gridSpan w:val="2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15.185.478</w:t>
            </w:r>
          </w:p>
        </w:tc>
        <w:tc>
          <w:tcPr>
            <w:tcW w:w="1415" w:type="dxa"/>
            <w:gridSpan w:val="2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15.851.849</w:t>
            </w:r>
          </w:p>
        </w:tc>
      </w:tr>
      <w:tr w:rsidR="00B82667" w:rsidRPr="00B82667" w:rsidTr="00707A64">
        <w:trPr>
          <w:gridAfter w:val="1"/>
          <w:wAfter w:w="36" w:type="dxa"/>
        </w:trPr>
        <w:tc>
          <w:tcPr>
            <w:tcW w:w="42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90.</w:t>
            </w:r>
          </w:p>
        </w:tc>
        <w:tc>
          <w:tcPr>
            <w:tcW w:w="620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Trattamento di fine rapporto del personale</w:t>
            </w:r>
          </w:p>
        </w:tc>
        <w:tc>
          <w:tcPr>
            <w:tcW w:w="1542" w:type="dxa"/>
            <w:gridSpan w:val="2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3.044.747</w:t>
            </w:r>
          </w:p>
        </w:tc>
        <w:tc>
          <w:tcPr>
            <w:tcW w:w="1415" w:type="dxa"/>
            <w:gridSpan w:val="2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3.162.656</w:t>
            </w:r>
          </w:p>
        </w:tc>
      </w:tr>
      <w:tr w:rsidR="00B82667" w:rsidRPr="00B82667" w:rsidTr="00707A64">
        <w:trPr>
          <w:gridAfter w:val="1"/>
          <w:wAfter w:w="36" w:type="dxa"/>
        </w:trPr>
        <w:tc>
          <w:tcPr>
            <w:tcW w:w="42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100.</w:t>
            </w:r>
          </w:p>
        </w:tc>
        <w:tc>
          <w:tcPr>
            <w:tcW w:w="620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Fondi per rischi e oneri:</w:t>
            </w:r>
          </w:p>
        </w:tc>
        <w:tc>
          <w:tcPr>
            <w:tcW w:w="1542" w:type="dxa"/>
            <w:gridSpan w:val="2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6.886.792</w:t>
            </w:r>
          </w:p>
        </w:tc>
        <w:tc>
          <w:tcPr>
            <w:tcW w:w="1415" w:type="dxa"/>
            <w:gridSpan w:val="2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6.556.576</w:t>
            </w:r>
          </w:p>
        </w:tc>
      </w:tr>
      <w:tr w:rsidR="00B82667" w:rsidRPr="00B82667" w:rsidTr="00707A64">
        <w:trPr>
          <w:gridAfter w:val="1"/>
          <w:wAfter w:w="36" w:type="dxa"/>
        </w:trPr>
        <w:tc>
          <w:tcPr>
            <w:tcW w:w="42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620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 xml:space="preserve">   a) impegni e garanzie rilasciate </w:t>
            </w:r>
          </w:p>
        </w:tc>
        <w:tc>
          <w:tcPr>
            <w:tcW w:w="1542" w:type="dxa"/>
            <w:gridSpan w:val="2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600.328</w:t>
            </w:r>
          </w:p>
        </w:tc>
        <w:tc>
          <w:tcPr>
            <w:tcW w:w="1415" w:type="dxa"/>
            <w:gridSpan w:val="2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581.369</w:t>
            </w:r>
          </w:p>
        </w:tc>
      </w:tr>
      <w:tr w:rsidR="00B82667" w:rsidRPr="00B82667" w:rsidTr="00707A64">
        <w:trPr>
          <w:gridAfter w:val="1"/>
          <w:wAfter w:w="36" w:type="dxa"/>
        </w:trPr>
        <w:tc>
          <w:tcPr>
            <w:tcW w:w="42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620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 xml:space="preserve">   b) quiescenza e obblighi simili</w:t>
            </w:r>
          </w:p>
        </w:tc>
        <w:tc>
          <w:tcPr>
            <w:tcW w:w="1542" w:type="dxa"/>
            <w:gridSpan w:val="2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3.233.233</w:t>
            </w:r>
          </w:p>
        </w:tc>
        <w:tc>
          <w:tcPr>
            <w:tcW w:w="1415" w:type="dxa"/>
            <w:gridSpan w:val="2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3.287.261</w:t>
            </w:r>
          </w:p>
        </w:tc>
      </w:tr>
      <w:tr w:rsidR="00B82667" w:rsidRPr="00B82667" w:rsidTr="00707A64">
        <w:trPr>
          <w:gridAfter w:val="1"/>
          <w:wAfter w:w="36" w:type="dxa"/>
        </w:trPr>
        <w:tc>
          <w:tcPr>
            <w:tcW w:w="42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620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 xml:space="preserve">   c) altri fondi per rischi e oneri</w:t>
            </w:r>
          </w:p>
        </w:tc>
        <w:tc>
          <w:tcPr>
            <w:tcW w:w="1542" w:type="dxa"/>
            <w:gridSpan w:val="2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3.053.231</w:t>
            </w:r>
          </w:p>
        </w:tc>
        <w:tc>
          <w:tcPr>
            <w:tcW w:w="1415" w:type="dxa"/>
            <w:gridSpan w:val="2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2.687.946</w:t>
            </w:r>
          </w:p>
        </w:tc>
      </w:tr>
      <w:tr w:rsidR="00B82667" w:rsidRPr="00B82667" w:rsidTr="00707A64">
        <w:trPr>
          <w:gridAfter w:val="1"/>
          <w:wAfter w:w="36" w:type="dxa"/>
        </w:trPr>
        <w:tc>
          <w:tcPr>
            <w:tcW w:w="42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110.</w:t>
            </w:r>
          </w:p>
        </w:tc>
        <w:tc>
          <w:tcPr>
            <w:tcW w:w="620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 xml:space="preserve">Riserve da valutazione </w:t>
            </w:r>
          </w:p>
        </w:tc>
        <w:tc>
          <w:tcPr>
            <w:tcW w:w="1542" w:type="dxa"/>
            <w:gridSpan w:val="2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FF0000"/>
                <w:sz w:val="16"/>
                <w:lang w:eastAsia="it-IT"/>
              </w:rPr>
              <w:t>(7.129.779)</w:t>
            </w:r>
          </w:p>
        </w:tc>
        <w:tc>
          <w:tcPr>
            <w:tcW w:w="1415" w:type="dxa"/>
            <w:gridSpan w:val="2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FF0000"/>
                <w:sz w:val="16"/>
                <w:lang w:eastAsia="it-IT"/>
              </w:rPr>
              <w:t>(10.517.063)</w:t>
            </w:r>
          </w:p>
        </w:tc>
      </w:tr>
      <w:tr w:rsidR="00B82667" w:rsidRPr="00B82667" w:rsidTr="00707A64">
        <w:trPr>
          <w:gridAfter w:val="1"/>
          <w:wAfter w:w="36" w:type="dxa"/>
        </w:trPr>
        <w:tc>
          <w:tcPr>
            <w:tcW w:w="42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620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di cui relative ad attività operative cessate</w:t>
            </w:r>
          </w:p>
        </w:tc>
        <w:tc>
          <w:tcPr>
            <w:tcW w:w="1542" w:type="dxa"/>
            <w:gridSpan w:val="2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5" w:type="dxa"/>
            <w:gridSpan w:val="2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B82667" w:rsidRPr="00B82667" w:rsidTr="00707A64">
        <w:trPr>
          <w:gridAfter w:val="1"/>
          <w:wAfter w:w="36" w:type="dxa"/>
        </w:trPr>
        <w:tc>
          <w:tcPr>
            <w:tcW w:w="42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120.</w:t>
            </w:r>
          </w:p>
        </w:tc>
        <w:tc>
          <w:tcPr>
            <w:tcW w:w="620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Azioni rimborsabili</w:t>
            </w:r>
          </w:p>
        </w:tc>
        <w:tc>
          <w:tcPr>
            <w:tcW w:w="1542" w:type="dxa"/>
            <w:gridSpan w:val="2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5" w:type="dxa"/>
            <w:gridSpan w:val="2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B82667" w:rsidRPr="00B82667" w:rsidTr="00707A64">
        <w:trPr>
          <w:gridAfter w:val="1"/>
          <w:wAfter w:w="36" w:type="dxa"/>
        </w:trPr>
        <w:tc>
          <w:tcPr>
            <w:tcW w:w="42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130.</w:t>
            </w:r>
          </w:p>
        </w:tc>
        <w:tc>
          <w:tcPr>
            <w:tcW w:w="620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Strumenti di capitale</w:t>
            </w:r>
          </w:p>
        </w:tc>
        <w:tc>
          <w:tcPr>
            <w:tcW w:w="1542" w:type="dxa"/>
            <w:gridSpan w:val="2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5" w:type="dxa"/>
            <w:gridSpan w:val="2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B82667" w:rsidRPr="00B82667" w:rsidTr="00707A64">
        <w:trPr>
          <w:gridAfter w:val="1"/>
          <w:wAfter w:w="36" w:type="dxa"/>
        </w:trPr>
        <w:tc>
          <w:tcPr>
            <w:tcW w:w="42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140.</w:t>
            </w:r>
          </w:p>
        </w:tc>
        <w:tc>
          <w:tcPr>
            <w:tcW w:w="620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Riserve</w:t>
            </w:r>
          </w:p>
        </w:tc>
        <w:tc>
          <w:tcPr>
            <w:tcW w:w="1542" w:type="dxa"/>
            <w:gridSpan w:val="2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71.390.348</w:t>
            </w:r>
          </w:p>
        </w:tc>
        <w:tc>
          <w:tcPr>
            <w:tcW w:w="1415" w:type="dxa"/>
            <w:gridSpan w:val="2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51.189.025</w:t>
            </w:r>
          </w:p>
        </w:tc>
      </w:tr>
      <w:tr w:rsidR="00B82667" w:rsidRPr="00B82667" w:rsidTr="00707A64">
        <w:trPr>
          <w:gridAfter w:val="1"/>
          <w:wAfter w:w="36" w:type="dxa"/>
        </w:trPr>
        <w:tc>
          <w:tcPr>
            <w:tcW w:w="42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620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Acconti su dividendi</w:t>
            </w:r>
          </w:p>
        </w:tc>
        <w:tc>
          <w:tcPr>
            <w:tcW w:w="1542" w:type="dxa"/>
            <w:gridSpan w:val="2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5" w:type="dxa"/>
            <w:gridSpan w:val="2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B82667" w:rsidRPr="00B82667" w:rsidTr="00707A64">
        <w:trPr>
          <w:gridAfter w:val="1"/>
          <w:wAfter w:w="36" w:type="dxa"/>
        </w:trPr>
        <w:tc>
          <w:tcPr>
            <w:tcW w:w="42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150.</w:t>
            </w:r>
          </w:p>
        </w:tc>
        <w:tc>
          <w:tcPr>
            <w:tcW w:w="620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Sovrapprezzi di emissione</w:t>
            </w:r>
          </w:p>
        </w:tc>
        <w:tc>
          <w:tcPr>
            <w:tcW w:w="1542" w:type="dxa"/>
            <w:gridSpan w:val="2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5" w:type="dxa"/>
            <w:gridSpan w:val="2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B82667" w:rsidRPr="00B82667" w:rsidTr="00707A64">
        <w:trPr>
          <w:gridAfter w:val="1"/>
          <w:wAfter w:w="36" w:type="dxa"/>
        </w:trPr>
        <w:tc>
          <w:tcPr>
            <w:tcW w:w="42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160.</w:t>
            </w:r>
          </w:p>
        </w:tc>
        <w:tc>
          <w:tcPr>
            <w:tcW w:w="620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Capitale</w:t>
            </w:r>
          </w:p>
        </w:tc>
        <w:tc>
          <w:tcPr>
            <w:tcW w:w="1542" w:type="dxa"/>
            <w:gridSpan w:val="2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204.508.690</w:t>
            </w:r>
          </w:p>
        </w:tc>
        <w:tc>
          <w:tcPr>
            <w:tcW w:w="1415" w:type="dxa"/>
            <w:gridSpan w:val="2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204.508.690</w:t>
            </w:r>
          </w:p>
        </w:tc>
      </w:tr>
      <w:tr w:rsidR="00B82667" w:rsidRPr="00B82667" w:rsidTr="00707A64">
        <w:trPr>
          <w:gridAfter w:val="1"/>
          <w:wAfter w:w="36" w:type="dxa"/>
        </w:trPr>
        <w:tc>
          <w:tcPr>
            <w:tcW w:w="42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170.</w:t>
            </w:r>
          </w:p>
        </w:tc>
        <w:tc>
          <w:tcPr>
            <w:tcW w:w="620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Azioni proprie (-)</w:t>
            </w:r>
          </w:p>
        </w:tc>
        <w:tc>
          <w:tcPr>
            <w:tcW w:w="1542" w:type="dxa"/>
            <w:gridSpan w:val="2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5" w:type="dxa"/>
            <w:gridSpan w:val="2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B82667" w:rsidRPr="00B82667" w:rsidTr="00707A64">
        <w:trPr>
          <w:gridAfter w:val="1"/>
          <w:wAfter w:w="36" w:type="dxa"/>
        </w:trPr>
        <w:tc>
          <w:tcPr>
            <w:tcW w:w="42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180.</w:t>
            </w:r>
          </w:p>
        </w:tc>
        <w:tc>
          <w:tcPr>
            <w:tcW w:w="620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Utile (Perdita) di periodo (+/-)</w:t>
            </w:r>
          </w:p>
        </w:tc>
        <w:tc>
          <w:tcPr>
            <w:tcW w:w="1542" w:type="dxa"/>
            <w:gridSpan w:val="2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6.274.148</w:t>
            </w:r>
          </w:p>
        </w:tc>
        <w:tc>
          <w:tcPr>
            <w:tcW w:w="1415" w:type="dxa"/>
            <w:gridSpan w:val="2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20.201.323</w:t>
            </w:r>
          </w:p>
        </w:tc>
      </w:tr>
      <w:tr w:rsidR="00B82667" w:rsidRPr="00B82667" w:rsidTr="00707A64">
        <w:trPr>
          <w:gridAfter w:val="1"/>
          <w:wAfter w:w="36" w:type="dxa"/>
        </w:trPr>
        <w:tc>
          <w:tcPr>
            <w:tcW w:w="42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620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b/>
                <w:color w:val="000000"/>
                <w:sz w:val="16"/>
                <w:lang w:eastAsia="it-IT"/>
              </w:rPr>
              <w:t>Totale del passivo e del patrimonio netto</w:t>
            </w:r>
          </w:p>
        </w:tc>
        <w:tc>
          <w:tcPr>
            <w:tcW w:w="1542" w:type="dxa"/>
            <w:gridSpan w:val="2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b/>
                <w:color w:val="000000"/>
                <w:sz w:val="16"/>
                <w:lang w:eastAsia="it-IT"/>
              </w:rPr>
              <w:t>2.347.078.167</w:t>
            </w:r>
          </w:p>
        </w:tc>
        <w:tc>
          <w:tcPr>
            <w:tcW w:w="1415" w:type="dxa"/>
            <w:gridSpan w:val="2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b/>
                <w:color w:val="000000"/>
                <w:sz w:val="16"/>
                <w:lang w:eastAsia="it-IT"/>
              </w:rPr>
              <w:t>2.350.450.930</w:t>
            </w:r>
          </w:p>
        </w:tc>
      </w:tr>
    </w:tbl>
    <w:p w:rsidR="003D67E8" w:rsidRDefault="003D67E8" w:rsidP="00980E0F">
      <w:pPr>
        <w:ind w:right="283"/>
        <w:rPr>
          <w:lang w:val="x-none" w:eastAsia="x-none"/>
        </w:rPr>
      </w:pPr>
    </w:p>
    <w:p w:rsidR="003D67E8" w:rsidRDefault="003D67E8" w:rsidP="0060354D">
      <w:pPr>
        <w:ind w:left="851" w:right="283"/>
        <w:rPr>
          <w:lang w:val="x-none" w:eastAsia="x-none"/>
        </w:rPr>
      </w:pPr>
      <w:r>
        <w:rPr>
          <w:lang w:val="x-none" w:eastAsia="x-none"/>
        </w:rPr>
        <w:br w:type="page"/>
      </w:r>
    </w:p>
    <w:p w:rsidR="003D67E8" w:rsidRDefault="003D67E8" w:rsidP="00A537D2">
      <w:pPr>
        <w:pStyle w:val="Titolo1"/>
        <w:ind w:right="283" w:firstLine="567"/>
        <w:rPr>
          <w:rFonts w:cs="Arial"/>
          <w:b/>
          <w:bCs/>
          <w:color w:val="007D57"/>
        </w:rPr>
      </w:pPr>
      <w:bookmarkStart w:id="8" w:name="_Toc513734028"/>
      <w:r w:rsidRPr="00AA462C">
        <w:rPr>
          <w:rFonts w:cs="Arial"/>
          <w:b/>
          <w:bCs/>
          <w:color w:val="007D57"/>
        </w:rPr>
        <w:lastRenderedPageBreak/>
        <w:t>CONTO ECONOMICO</w:t>
      </w:r>
      <w:bookmarkEnd w:id="8"/>
    </w:p>
    <w:tbl>
      <w:tblPr>
        <w:tblW w:w="9740" w:type="dxa"/>
        <w:tblInd w:w="567" w:type="dxa"/>
        <w:tblBorders>
          <w:top w:val="single" w:sz="0" w:space="0" w:color="007D57"/>
          <w:left w:val="single" w:sz="0" w:space="0" w:color="007D57"/>
          <w:bottom w:val="single" w:sz="0" w:space="0" w:color="007D57"/>
          <w:right w:val="single" w:sz="0" w:space="0" w:color="007D57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"/>
        <w:gridCol w:w="6436"/>
        <w:gridCol w:w="1474"/>
        <w:gridCol w:w="1418"/>
      </w:tblGrid>
      <w:tr w:rsidR="00B82667" w:rsidRPr="00B82667" w:rsidTr="00707A64">
        <w:tc>
          <w:tcPr>
            <w:tcW w:w="6848" w:type="dxa"/>
            <w:gridSpan w:val="2"/>
            <w:tcBorders>
              <w:left w:val="single" w:sz="0" w:space="0" w:color="FFFFFF"/>
              <w:bottom w:val="single" w:sz="0" w:space="0" w:color="FFFFFF"/>
            </w:tcBorders>
            <w:shd w:val="clear" w:color="auto" w:fill="007D57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b/>
                <w:color w:val="FFFFFF"/>
                <w:sz w:val="16"/>
                <w:lang w:eastAsia="it-IT"/>
              </w:rPr>
              <w:t>Voci</w:t>
            </w:r>
          </w:p>
        </w:tc>
        <w:tc>
          <w:tcPr>
            <w:tcW w:w="1474" w:type="dxa"/>
            <w:tcBorders>
              <w:left w:val="single" w:sz="0" w:space="0" w:color="FFFFFF"/>
              <w:bottom w:val="single" w:sz="0" w:space="0" w:color="FFFFFF"/>
            </w:tcBorders>
            <w:shd w:val="clear" w:color="auto" w:fill="007D57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b/>
                <w:color w:val="FFFFFF"/>
                <w:sz w:val="16"/>
                <w:lang w:eastAsia="it-IT"/>
              </w:rPr>
              <w:t>31.03.2019</w:t>
            </w:r>
          </w:p>
        </w:tc>
        <w:tc>
          <w:tcPr>
            <w:tcW w:w="1418" w:type="dxa"/>
            <w:tcBorders>
              <w:left w:val="single" w:sz="0" w:space="0" w:color="FFFFFF"/>
              <w:bottom w:val="single" w:sz="0" w:space="0" w:color="FFFFFF"/>
            </w:tcBorders>
            <w:shd w:val="clear" w:color="auto" w:fill="007D57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b/>
                <w:color w:val="FFFFFF"/>
                <w:sz w:val="16"/>
                <w:lang w:eastAsia="it-IT"/>
              </w:rPr>
              <w:t>31.03.2018</w:t>
            </w:r>
          </w:p>
        </w:tc>
      </w:tr>
      <w:tr w:rsidR="00B82667" w:rsidRPr="00B82667" w:rsidTr="00707A64">
        <w:tc>
          <w:tcPr>
            <w:tcW w:w="41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10.</w:t>
            </w:r>
          </w:p>
        </w:tc>
        <w:tc>
          <w:tcPr>
            <w:tcW w:w="643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Interessi attivi e proventi assimilati</w:t>
            </w:r>
          </w:p>
        </w:tc>
        <w:tc>
          <w:tcPr>
            <w:tcW w:w="147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10.378.149</w:t>
            </w:r>
          </w:p>
        </w:tc>
        <w:tc>
          <w:tcPr>
            <w:tcW w:w="1418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14.108.168</w:t>
            </w:r>
          </w:p>
        </w:tc>
      </w:tr>
      <w:tr w:rsidR="00B82667" w:rsidRPr="00B82667" w:rsidTr="00707A64">
        <w:tc>
          <w:tcPr>
            <w:tcW w:w="41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643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di cui interessi attivi calcolati con il metodo dell'interesse effettivo</w:t>
            </w:r>
          </w:p>
        </w:tc>
        <w:tc>
          <w:tcPr>
            <w:tcW w:w="147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8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B82667" w:rsidRPr="00B82667" w:rsidTr="00707A64">
        <w:tc>
          <w:tcPr>
            <w:tcW w:w="41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20.</w:t>
            </w:r>
          </w:p>
        </w:tc>
        <w:tc>
          <w:tcPr>
            <w:tcW w:w="643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Interessi passivi e oneri assimilati</w:t>
            </w:r>
          </w:p>
        </w:tc>
        <w:tc>
          <w:tcPr>
            <w:tcW w:w="147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FF0000"/>
                <w:sz w:val="16"/>
                <w:lang w:eastAsia="it-IT"/>
              </w:rPr>
              <w:t>(3.820.547)</w:t>
            </w:r>
          </w:p>
        </w:tc>
        <w:tc>
          <w:tcPr>
            <w:tcW w:w="1418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FF0000"/>
                <w:sz w:val="16"/>
                <w:lang w:eastAsia="it-IT"/>
              </w:rPr>
              <w:t>(4.944.703)</w:t>
            </w:r>
          </w:p>
        </w:tc>
      </w:tr>
      <w:tr w:rsidR="00B82667" w:rsidRPr="00B82667" w:rsidTr="00707A64">
        <w:tc>
          <w:tcPr>
            <w:tcW w:w="41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b/>
                <w:color w:val="000000"/>
                <w:sz w:val="16"/>
                <w:lang w:eastAsia="it-IT"/>
              </w:rPr>
              <w:t>30.</w:t>
            </w:r>
          </w:p>
        </w:tc>
        <w:tc>
          <w:tcPr>
            <w:tcW w:w="643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b/>
                <w:color w:val="000000"/>
                <w:sz w:val="16"/>
                <w:lang w:eastAsia="it-IT"/>
              </w:rPr>
              <w:t>Margine di interesse</w:t>
            </w:r>
          </w:p>
        </w:tc>
        <w:tc>
          <w:tcPr>
            <w:tcW w:w="147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b/>
                <w:color w:val="000000"/>
                <w:sz w:val="16"/>
                <w:lang w:eastAsia="it-IT"/>
              </w:rPr>
              <w:t>6.557.602</w:t>
            </w:r>
          </w:p>
        </w:tc>
        <w:tc>
          <w:tcPr>
            <w:tcW w:w="1418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b/>
                <w:color w:val="000000"/>
                <w:sz w:val="16"/>
                <w:lang w:eastAsia="it-IT"/>
              </w:rPr>
              <w:t>9.163.465</w:t>
            </w:r>
          </w:p>
        </w:tc>
      </w:tr>
      <w:tr w:rsidR="00B82667" w:rsidRPr="00B82667" w:rsidTr="00707A64">
        <w:tc>
          <w:tcPr>
            <w:tcW w:w="41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40.</w:t>
            </w:r>
          </w:p>
        </w:tc>
        <w:tc>
          <w:tcPr>
            <w:tcW w:w="643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Commissioni attive</w:t>
            </w:r>
          </w:p>
        </w:tc>
        <w:tc>
          <w:tcPr>
            <w:tcW w:w="147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14.047.038</w:t>
            </w:r>
          </w:p>
        </w:tc>
        <w:tc>
          <w:tcPr>
            <w:tcW w:w="1418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13.740.067</w:t>
            </w:r>
          </w:p>
        </w:tc>
      </w:tr>
      <w:tr w:rsidR="00B82667" w:rsidRPr="00B82667" w:rsidTr="00707A64">
        <w:tc>
          <w:tcPr>
            <w:tcW w:w="41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50.</w:t>
            </w:r>
          </w:p>
        </w:tc>
        <w:tc>
          <w:tcPr>
            <w:tcW w:w="643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Commissioni passive</w:t>
            </w:r>
          </w:p>
        </w:tc>
        <w:tc>
          <w:tcPr>
            <w:tcW w:w="147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FF0000"/>
                <w:sz w:val="16"/>
                <w:lang w:eastAsia="it-IT"/>
              </w:rPr>
              <w:t>(81.583)</w:t>
            </w:r>
          </w:p>
        </w:tc>
        <w:tc>
          <w:tcPr>
            <w:tcW w:w="1418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FF0000"/>
                <w:sz w:val="16"/>
                <w:lang w:eastAsia="it-IT"/>
              </w:rPr>
              <w:t>(101.833)</w:t>
            </w:r>
          </w:p>
        </w:tc>
      </w:tr>
      <w:tr w:rsidR="00B82667" w:rsidRPr="00B82667" w:rsidTr="00707A64">
        <w:tc>
          <w:tcPr>
            <w:tcW w:w="41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b/>
                <w:color w:val="000000"/>
                <w:sz w:val="16"/>
                <w:lang w:eastAsia="it-IT"/>
              </w:rPr>
              <w:t>60.</w:t>
            </w:r>
          </w:p>
        </w:tc>
        <w:tc>
          <w:tcPr>
            <w:tcW w:w="643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b/>
                <w:color w:val="000000"/>
                <w:sz w:val="16"/>
                <w:lang w:eastAsia="it-IT"/>
              </w:rPr>
              <w:t>Commissioni nette</w:t>
            </w:r>
          </w:p>
        </w:tc>
        <w:tc>
          <w:tcPr>
            <w:tcW w:w="147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b/>
                <w:color w:val="000000"/>
                <w:sz w:val="16"/>
                <w:lang w:eastAsia="it-IT"/>
              </w:rPr>
              <w:t>13.965.455</w:t>
            </w:r>
          </w:p>
        </w:tc>
        <w:tc>
          <w:tcPr>
            <w:tcW w:w="1418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b/>
                <w:color w:val="000000"/>
                <w:sz w:val="16"/>
                <w:lang w:eastAsia="it-IT"/>
              </w:rPr>
              <w:t>13.638.234</w:t>
            </w:r>
          </w:p>
        </w:tc>
      </w:tr>
      <w:tr w:rsidR="00B82667" w:rsidRPr="00B82667" w:rsidTr="00707A64">
        <w:tc>
          <w:tcPr>
            <w:tcW w:w="41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70.</w:t>
            </w:r>
          </w:p>
        </w:tc>
        <w:tc>
          <w:tcPr>
            <w:tcW w:w="643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Dividendi e proventi simili</w:t>
            </w:r>
          </w:p>
        </w:tc>
        <w:tc>
          <w:tcPr>
            <w:tcW w:w="147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8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B82667" w:rsidRPr="00B82667" w:rsidTr="00707A64">
        <w:tc>
          <w:tcPr>
            <w:tcW w:w="41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80.</w:t>
            </w:r>
          </w:p>
        </w:tc>
        <w:tc>
          <w:tcPr>
            <w:tcW w:w="643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Risultato netto dell'attività di negoziazione</w:t>
            </w:r>
          </w:p>
        </w:tc>
        <w:tc>
          <w:tcPr>
            <w:tcW w:w="147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8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B82667" w:rsidRPr="00B82667" w:rsidTr="00707A64">
        <w:tc>
          <w:tcPr>
            <w:tcW w:w="41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90.</w:t>
            </w:r>
          </w:p>
        </w:tc>
        <w:tc>
          <w:tcPr>
            <w:tcW w:w="643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Risultato netto dell'attività di copertura</w:t>
            </w:r>
          </w:p>
        </w:tc>
        <w:tc>
          <w:tcPr>
            <w:tcW w:w="147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785</w:t>
            </w:r>
          </w:p>
        </w:tc>
        <w:tc>
          <w:tcPr>
            <w:tcW w:w="1418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2.637</w:t>
            </w:r>
          </w:p>
        </w:tc>
      </w:tr>
      <w:tr w:rsidR="00B82667" w:rsidRPr="00B82667" w:rsidTr="00707A64">
        <w:tc>
          <w:tcPr>
            <w:tcW w:w="41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100.</w:t>
            </w:r>
          </w:p>
        </w:tc>
        <w:tc>
          <w:tcPr>
            <w:tcW w:w="643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Utili (perdite) da cessione o riacquisto di:</w:t>
            </w:r>
          </w:p>
        </w:tc>
        <w:tc>
          <w:tcPr>
            <w:tcW w:w="147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8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499.612</w:t>
            </w:r>
          </w:p>
        </w:tc>
      </w:tr>
      <w:tr w:rsidR="00B82667" w:rsidRPr="00B82667" w:rsidTr="00707A64">
        <w:tc>
          <w:tcPr>
            <w:tcW w:w="41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643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 xml:space="preserve">   a) attività finanziarie valutate al costo ammortizzato </w:t>
            </w:r>
          </w:p>
        </w:tc>
        <w:tc>
          <w:tcPr>
            <w:tcW w:w="147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8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499.612</w:t>
            </w:r>
          </w:p>
        </w:tc>
      </w:tr>
      <w:tr w:rsidR="00B82667" w:rsidRPr="00B82667" w:rsidTr="00707A64">
        <w:tc>
          <w:tcPr>
            <w:tcW w:w="41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643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 xml:space="preserve">   b) attività finanziarie valutate al fair </w:t>
            </w:r>
            <w:proofErr w:type="spellStart"/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value</w:t>
            </w:r>
            <w:proofErr w:type="spellEnd"/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 xml:space="preserve"> con impatto sulla redditività complessiva </w:t>
            </w:r>
          </w:p>
        </w:tc>
        <w:tc>
          <w:tcPr>
            <w:tcW w:w="147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0</w:t>
            </w:r>
          </w:p>
        </w:tc>
        <w:tc>
          <w:tcPr>
            <w:tcW w:w="1418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0</w:t>
            </w:r>
          </w:p>
        </w:tc>
      </w:tr>
      <w:tr w:rsidR="00B82667" w:rsidRPr="00B82667" w:rsidTr="00707A64">
        <w:tc>
          <w:tcPr>
            <w:tcW w:w="41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643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 xml:space="preserve">   c) passività finanziarie</w:t>
            </w:r>
          </w:p>
        </w:tc>
        <w:tc>
          <w:tcPr>
            <w:tcW w:w="147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8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B82667" w:rsidRPr="00B82667" w:rsidTr="00707A64">
        <w:tc>
          <w:tcPr>
            <w:tcW w:w="41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110.</w:t>
            </w:r>
          </w:p>
        </w:tc>
        <w:tc>
          <w:tcPr>
            <w:tcW w:w="643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 xml:space="preserve">Risultato netto delle altre attività e passività finanziarie valutate al fair </w:t>
            </w:r>
            <w:proofErr w:type="spellStart"/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value</w:t>
            </w:r>
            <w:proofErr w:type="spellEnd"/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 xml:space="preserve"> con impatto a conto economico</w:t>
            </w:r>
          </w:p>
        </w:tc>
        <w:tc>
          <w:tcPr>
            <w:tcW w:w="147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FF0000"/>
                <w:sz w:val="16"/>
                <w:lang w:eastAsia="it-IT"/>
              </w:rPr>
              <w:t>(53)</w:t>
            </w:r>
          </w:p>
        </w:tc>
        <w:tc>
          <w:tcPr>
            <w:tcW w:w="1418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B82667" w:rsidRPr="00B82667" w:rsidTr="00707A64">
        <w:tc>
          <w:tcPr>
            <w:tcW w:w="41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643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 xml:space="preserve">   a) attività e passività finanziarie designate al fair </w:t>
            </w:r>
            <w:proofErr w:type="spellStart"/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value</w:t>
            </w:r>
            <w:proofErr w:type="spellEnd"/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 xml:space="preserve"> </w:t>
            </w:r>
          </w:p>
        </w:tc>
        <w:tc>
          <w:tcPr>
            <w:tcW w:w="147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8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B82667" w:rsidRPr="00B82667" w:rsidTr="00707A64">
        <w:tc>
          <w:tcPr>
            <w:tcW w:w="41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643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 xml:space="preserve">   b) altre attività finanziarie obbligatoriamente valutate al fair </w:t>
            </w:r>
            <w:proofErr w:type="spellStart"/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value</w:t>
            </w:r>
            <w:proofErr w:type="spellEnd"/>
          </w:p>
        </w:tc>
        <w:tc>
          <w:tcPr>
            <w:tcW w:w="147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FF0000"/>
                <w:sz w:val="16"/>
                <w:lang w:eastAsia="it-IT"/>
              </w:rPr>
              <w:t>(53)</w:t>
            </w:r>
          </w:p>
        </w:tc>
        <w:tc>
          <w:tcPr>
            <w:tcW w:w="1418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B82667" w:rsidRPr="00B82667" w:rsidTr="00707A64">
        <w:tc>
          <w:tcPr>
            <w:tcW w:w="41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b/>
                <w:color w:val="000000"/>
                <w:sz w:val="16"/>
                <w:lang w:eastAsia="it-IT"/>
              </w:rPr>
              <w:t>120.</w:t>
            </w:r>
          </w:p>
        </w:tc>
        <w:tc>
          <w:tcPr>
            <w:tcW w:w="643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b/>
                <w:color w:val="000000"/>
                <w:sz w:val="16"/>
                <w:lang w:eastAsia="it-IT"/>
              </w:rPr>
              <w:t>Margine di intermediazione</w:t>
            </w:r>
          </w:p>
        </w:tc>
        <w:tc>
          <w:tcPr>
            <w:tcW w:w="147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b/>
                <w:color w:val="000000"/>
                <w:sz w:val="16"/>
                <w:lang w:eastAsia="it-IT"/>
              </w:rPr>
              <w:t>20.523.789</w:t>
            </w:r>
          </w:p>
        </w:tc>
        <w:tc>
          <w:tcPr>
            <w:tcW w:w="1418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b/>
                <w:color w:val="000000"/>
                <w:sz w:val="16"/>
                <w:lang w:eastAsia="it-IT"/>
              </w:rPr>
              <w:t>23.303.948</w:t>
            </w:r>
          </w:p>
        </w:tc>
      </w:tr>
      <w:tr w:rsidR="00B82667" w:rsidRPr="00B82667" w:rsidTr="00707A64">
        <w:tc>
          <w:tcPr>
            <w:tcW w:w="41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130.</w:t>
            </w:r>
          </w:p>
        </w:tc>
        <w:tc>
          <w:tcPr>
            <w:tcW w:w="643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 xml:space="preserve">Rettifiche/riprese di valore nette per rischio di credito di: </w:t>
            </w:r>
          </w:p>
        </w:tc>
        <w:tc>
          <w:tcPr>
            <w:tcW w:w="147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FF0000"/>
                <w:sz w:val="16"/>
                <w:lang w:eastAsia="it-IT"/>
              </w:rPr>
              <w:t>(2.140.761)</w:t>
            </w:r>
          </w:p>
        </w:tc>
        <w:tc>
          <w:tcPr>
            <w:tcW w:w="1418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FF0000"/>
                <w:sz w:val="16"/>
                <w:lang w:eastAsia="it-IT"/>
              </w:rPr>
              <w:t>(4.013.405)</w:t>
            </w:r>
          </w:p>
        </w:tc>
      </w:tr>
      <w:tr w:rsidR="00B82667" w:rsidRPr="00B82667" w:rsidTr="00707A64">
        <w:tc>
          <w:tcPr>
            <w:tcW w:w="41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643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 xml:space="preserve">   a) attività finanziarie valutate al costo ammortizzato </w:t>
            </w:r>
          </w:p>
        </w:tc>
        <w:tc>
          <w:tcPr>
            <w:tcW w:w="147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FF0000"/>
                <w:sz w:val="16"/>
                <w:lang w:eastAsia="it-IT"/>
              </w:rPr>
              <w:t>(2.143.449)</w:t>
            </w:r>
          </w:p>
        </w:tc>
        <w:tc>
          <w:tcPr>
            <w:tcW w:w="1418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FF0000"/>
                <w:sz w:val="16"/>
                <w:lang w:eastAsia="it-IT"/>
              </w:rPr>
              <w:t>(4.017.720)</w:t>
            </w:r>
          </w:p>
        </w:tc>
      </w:tr>
      <w:tr w:rsidR="00B82667" w:rsidRPr="00B82667" w:rsidTr="00707A64">
        <w:tc>
          <w:tcPr>
            <w:tcW w:w="41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643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 xml:space="preserve">   b) attività finanziarie valutate al fair </w:t>
            </w:r>
            <w:proofErr w:type="spellStart"/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value</w:t>
            </w:r>
            <w:proofErr w:type="spellEnd"/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 xml:space="preserve"> con impatto sulla redditività complessiva </w:t>
            </w:r>
          </w:p>
        </w:tc>
        <w:tc>
          <w:tcPr>
            <w:tcW w:w="147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2.688</w:t>
            </w:r>
          </w:p>
        </w:tc>
        <w:tc>
          <w:tcPr>
            <w:tcW w:w="1418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4.315</w:t>
            </w:r>
          </w:p>
        </w:tc>
      </w:tr>
      <w:tr w:rsidR="00B82667" w:rsidRPr="00B82667" w:rsidTr="00707A64">
        <w:tc>
          <w:tcPr>
            <w:tcW w:w="41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140.</w:t>
            </w:r>
          </w:p>
        </w:tc>
        <w:tc>
          <w:tcPr>
            <w:tcW w:w="643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Utili/perdite da modifiche contrattuali senza cancellazioni</w:t>
            </w:r>
          </w:p>
        </w:tc>
        <w:tc>
          <w:tcPr>
            <w:tcW w:w="147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FF0000"/>
                <w:sz w:val="16"/>
                <w:lang w:eastAsia="it-IT"/>
              </w:rPr>
              <w:t>(72.192)</w:t>
            </w:r>
          </w:p>
        </w:tc>
        <w:tc>
          <w:tcPr>
            <w:tcW w:w="1418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B82667" w:rsidRPr="00B82667" w:rsidTr="00707A64">
        <w:tc>
          <w:tcPr>
            <w:tcW w:w="41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b/>
                <w:color w:val="000000"/>
                <w:sz w:val="16"/>
                <w:lang w:eastAsia="it-IT"/>
              </w:rPr>
              <w:t>150.</w:t>
            </w:r>
          </w:p>
        </w:tc>
        <w:tc>
          <w:tcPr>
            <w:tcW w:w="643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b/>
                <w:color w:val="000000"/>
                <w:sz w:val="16"/>
                <w:lang w:eastAsia="it-IT"/>
              </w:rPr>
              <w:t xml:space="preserve">Risultato netto della gestione finanziaria </w:t>
            </w:r>
          </w:p>
        </w:tc>
        <w:tc>
          <w:tcPr>
            <w:tcW w:w="147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b/>
                <w:color w:val="000000"/>
                <w:sz w:val="16"/>
                <w:lang w:eastAsia="it-IT"/>
              </w:rPr>
              <w:t>18.310.836</w:t>
            </w:r>
          </w:p>
        </w:tc>
        <w:tc>
          <w:tcPr>
            <w:tcW w:w="1418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b/>
                <w:color w:val="000000"/>
                <w:sz w:val="16"/>
                <w:lang w:eastAsia="it-IT"/>
              </w:rPr>
              <w:t>19.290.543</w:t>
            </w:r>
          </w:p>
        </w:tc>
      </w:tr>
      <w:tr w:rsidR="00B82667" w:rsidRPr="00B82667" w:rsidTr="00707A64">
        <w:tc>
          <w:tcPr>
            <w:tcW w:w="41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160.</w:t>
            </w:r>
          </w:p>
        </w:tc>
        <w:tc>
          <w:tcPr>
            <w:tcW w:w="643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Spese amministrative:</w:t>
            </w:r>
          </w:p>
        </w:tc>
        <w:tc>
          <w:tcPr>
            <w:tcW w:w="147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FF0000"/>
                <w:sz w:val="16"/>
                <w:lang w:eastAsia="it-IT"/>
              </w:rPr>
              <w:t>(9.857.257)</w:t>
            </w:r>
          </w:p>
        </w:tc>
        <w:tc>
          <w:tcPr>
            <w:tcW w:w="1418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FF0000"/>
                <w:sz w:val="16"/>
                <w:lang w:eastAsia="it-IT"/>
              </w:rPr>
              <w:t>(10.719.460)</w:t>
            </w:r>
          </w:p>
        </w:tc>
      </w:tr>
      <w:tr w:rsidR="00B82667" w:rsidRPr="00B82667" w:rsidTr="00707A64">
        <w:tc>
          <w:tcPr>
            <w:tcW w:w="41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643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a)   spese per il personale</w:t>
            </w:r>
          </w:p>
        </w:tc>
        <w:tc>
          <w:tcPr>
            <w:tcW w:w="147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FF0000"/>
                <w:sz w:val="16"/>
                <w:lang w:eastAsia="it-IT"/>
              </w:rPr>
              <w:t>(6.572.416)</w:t>
            </w:r>
          </w:p>
        </w:tc>
        <w:tc>
          <w:tcPr>
            <w:tcW w:w="1418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FF0000"/>
                <w:sz w:val="16"/>
                <w:lang w:eastAsia="it-IT"/>
              </w:rPr>
              <w:t>(6.456.400)</w:t>
            </w:r>
          </w:p>
        </w:tc>
      </w:tr>
      <w:tr w:rsidR="00B82667" w:rsidRPr="00B82667" w:rsidTr="00707A64">
        <w:tc>
          <w:tcPr>
            <w:tcW w:w="41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643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b)   altre spese amministrative</w:t>
            </w:r>
          </w:p>
        </w:tc>
        <w:tc>
          <w:tcPr>
            <w:tcW w:w="147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FF0000"/>
                <w:sz w:val="16"/>
                <w:lang w:eastAsia="it-IT"/>
              </w:rPr>
              <w:t>(3.284.841)</w:t>
            </w:r>
          </w:p>
        </w:tc>
        <w:tc>
          <w:tcPr>
            <w:tcW w:w="1418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FF0000"/>
                <w:sz w:val="16"/>
                <w:lang w:eastAsia="it-IT"/>
              </w:rPr>
              <w:t>(4.263.060)</w:t>
            </w:r>
          </w:p>
        </w:tc>
      </w:tr>
      <w:tr w:rsidR="00B82667" w:rsidRPr="00B82667" w:rsidTr="00707A64">
        <w:tc>
          <w:tcPr>
            <w:tcW w:w="41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170.</w:t>
            </w:r>
          </w:p>
        </w:tc>
        <w:tc>
          <w:tcPr>
            <w:tcW w:w="643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Accantonamenti netti ai fondi per rischi e oneri</w:t>
            </w:r>
          </w:p>
        </w:tc>
        <w:tc>
          <w:tcPr>
            <w:tcW w:w="147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FF0000"/>
                <w:sz w:val="16"/>
                <w:lang w:eastAsia="it-IT"/>
              </w:rPr>
              <w:t>(18.959)</w:t>
            </w:r>
          </w:p>
        </w:tc>
        <w:tc>
          <w:tcPr>
            <w:tcW w:w="1418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997.344</w:t>
            </w:r>
          </w:p>
        </w:tc>
      </w:tr>
      <w:tr w:rsidR="00B82667" w:rsidRPr="00B82667" w:rsidTr="00707A64">
        <w:tc>
          <w:tcPr>
            <w:tcW w:w="41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643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 xml:space="preserve">   a) impegni e garanzie rilasciate</w:t>
            </w:r>
          </w:p>
        </w:tc>
        <w:tc>
          <w:tcPr>
            <w:tcW w:w="147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FF0000"/>
                <w:sz w:val="16"/>
                <w:lang w:eastAsia="it-IT"/>
              </w:rPr>
              <w:t>(18.959)</w:t>
            </w:r>
          </w:p>
        </w:tc>
        <w:tc>
          <w:tcPr>
            <w:tcW w:w="1418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591.638</w:t>
            </w:r>
          </w:p>
        </w:tc>
      </w:tr>
      <w:tr w:rsidR="00B82667" w:rsidRPr="00B82667" w:rsidTr="00707A64">
        <w:tc>
          <w:tcPr>
            <w:tcW w:w="41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643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 xml:space="preserve">   b) altri accantonamenti netti</w:t>
            </w:r>
          </w:p>
        </w:tc>
        <w:tc>
          <w:tcPr>
            <w:tcW w:w="147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8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405.706</w:t>
            </w:r>
          </w:p>
        </w:tc>
      </w:tr>
      <w:tr w:rsidR="00B82667" w:rsidRPr="00B82667" w:rsidTr="00707A64">
        <w:tc>
          <w:tcPr>
            <w:tcW w:w="41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180.</w:t>
            </w:r>
          </w:p>
        </w:tc>
        <w:tc>
          <w:tcPr>
            <w:tcW w:w="643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Rettifiche/riprese di valore nette su attività materiali</w:t>
            </w:r>
          </w:p>
        </w:tc>
        <w:tc>
          <w:tcPr>
            <w:tcW w:w="147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FF0000"/>
                <w:sz w:val="16"/>
                <w:lang w:eastAsia="it-IT"/>
              </w:rPr>
              <w:t>(485.281)</w:t>
            </w:r>
          </w:p>
        </w:tc>
        <w:tc>
          <w:tcPr>
            <w:tcW w:w="1418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FF0000"/>
                <w:sz w:val="16"/>
                <w:lang w:eastAsia="it-IT"/>
              </w:rPr>
              <w:t>(71.817)</w:t>
            </w:r>
          </w:p>
        </w:tc>
      </w:tr>
      <w:tr w:rsidR="00B82667" w:rsidRPr="00B82667" w:rsidTr="00707A64">
        <w:tc>
          <w:tcPr>
            <w:tcW w:w="41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190.</w:t>
            </w:r>
          </w:p>
        </w:tc>
        <w:tc>
          <w:tcPr>
            <w:tcW w:w="643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Rettifiche/riprese di valore nette su attività immateriali</w:t>
            </w:r>
          </w:p>
        </w:tc>
        <w:tc>
          <w:tcPr>
            <w:tcW w:w="147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FF0000"/>
                <w:sz w:val="16"/>
                <w:lang w:eastAsia="it-IT"/>
              </w:rPr>
              <w:t>(172.401)</w:t>
            </w:r>
          </w:p>
        </w:tc>
        <w:tc>
          <w:tcPr>
            <w:tcW w:w="1418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FF0000"/>
                <w:sz w:val="16"/>
                <w:lang w:eastAsia="it-IT"/>
              </w:rPr>
              <w:t>(141.626)</w:t>
            </w:r>
          </w:p>
        </w:tc>
      </w:tr>
      <w:tr w:rsidR="00B82667" w:rsidRPr="00B82667" w:rsidTr="00707A64">
        <w:tc>
          <w:tcPr>
            <w:tcW w:w="41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200.</w:t>
            </w:r>
          </w:p>
        </w:tc>
        <w:tc>
          <w:tcPr>
            <w:tcW w:w="643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Altri oneri/proventi di gestione</w:t>
            </w:r>
          </w:p>
        </w:tc>
        <w:tc>
          <w:tcPr>
            <w:tcW w:w="147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655.884</w:t>
            </w:r>
          </w:p>
        </w:tc>
        <w:tc>
          <w:tcPr>
            <w:tcW w:w="1418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423.220</w:t>
            </w:r>
          </w:p>
        </w:tc>
      </w:tr>
      <w:tr w:rsidR="00B82667" w:rsidRPr="00B82667" w:rsidTr="00707A64">
        <w:tc>
          <w:tcPr>
            <w:tcW w:w="41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b/>
                <w:color w:val="000000"/>
                <w:sz w:val="16"/>
                <w:lang w:eastAsia="it-IT"/>
              </w:rPr>
              <w:t>210.</w:t>
            </w:r>
          </w:p>
        </w:tc>
        <w:tc>
          <w:tcPr>
            <w:tcW w:w="643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b/>
                <w:color w:val="000000"/>
                <w:sz w:val="16"/>
                <w:lang w:eastAsia="it-IT"/>
              </w:rPr>
              <w:t>Costi operativi</w:t>
            </w:r>
          </w:p>
        </w:tc>
        <w:tc>
          <w:tcPr>
            <w:tcW w:w="147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b/>
                <w:color w:val="FF0000"/>
                <w:sz w:val="16"/>
                <w:lang w:eastAsia="it-IT"/>
              </w:rPr>
              <w:t>(9.878.014)</w:t>
            </w:r>
          </w:p>
        </w:tc>
        <w:tc>
          <w:tcPr>
            <w:tcW w:w="1418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b/>
                <w:color w:val="FF0000"/>
                <w:sz w:val="16"/>
                <w:lang w:eastAsia="it-IT"/>
              </w:rPr>
              <w:t>(9.512.339)</w:t>
            </w:r>
          </w:p>
        </w:tc>
      </w:tr>
      <w:tr w:rsidR="00B82667" w:rsidRPr="00B82667" w:rsidTr="00707A64">
        <w:tc>
          <w:tcPr>
            <w:tcW w:w="41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220.</w:t>
            </w:r>
          </w:p>
        </w:tc>
        <w:tc>
          <w:tcPr>
            <w:tcW w:w="643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 xml:space="preserve">Utili (Perdite) delle partecipazioni </w:t>
            </w:r>
          </w:p>
        </w:tc>
        <w:tc>
          <w:tcPr>
            <w:tcW w:w="147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8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B82667" w:rsidRPr="00B82667" w:rsidTr="00707A64">
        <w:tc>
          <w:tcPr>
            <w:tcW w:w="41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230.</w:t>
            </w:r>
          </w:p>
        </w:tc>
        <w:tc>
          <w:tcPr>
            <w:tcW w:w="643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 xml:space="preserve">Risultato netto della valutazione al fair </w:t>
            </w:r>
            <w:proofErr w:type="spellStart"/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value</w:t>
            </w:r>
            <w:proofErr w:type="spellEnd"/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 xml:space="preserve"> delle attività materiali e immateriali</w:t>
            </w:r>
          </w:p>
        </w:tc>
        <w:tc>
          <w:tcPr>
            <w:tcW w:w="147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8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B82667" w:rsidRPr="00B82667" w:rsidTr="00707A64">
        <w:tc>
          <w:tcPr>
            <w:tcW w:w="41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240.</w:t>
            </w:r>
          </w:p>
        </w:tc>
        <w:tc>
          <w:tcPr>
            <w:tcW w:w="643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Rettifiche di valore dell'avviamento</w:t>
            </w:r>
          </w:p>
        </w:tc>
        <w:tc>
          <w:tcPr>
            <w:tcW w:w="147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8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B82667" w:rsidRPr="00B82667" w:rsidTr="00707A64">
        <w:tc>
          <w:tcPr>
            <w:tcW w:w="41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250.</w:t>
            </w:r>
          </w:p>
        </w:tc>
        <w:tc>
          <w:tcPr>
            <w:tcW w:w="643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Utili (Perdite) da cessione di investimenti</w:t>
            </w:r>
          </w:p>
        </w:tc>
        <w:tc>
          <w:tcPr>
            <w:tcW w:w="147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8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12.000</w:t>
            </w:r>
          </w:p>
        </w:tc>
      </w:tr>
      <w:tr w:rsidR="00B82667" w:rsidRPr="00B82667" w:rsidTr="00707A64">
        <w:tc>
          <w:tcPr>
            <w:tcW w:w="41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b/>
                <w:color w:val="000000"/>
                <w:sz w:val="16"/>
                <w:lang w:eastAsia="it-IT"/>
              </w:rPr>
              <w:t>260.</w:t>
            </w:r>
          </w:p>
        </w:tc>
        <w:tc>
          <w:tcPr>
            <w:tcW w:w="643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b/>
                <w:color w:val="000000"/>
                <w:sz w:val="16"/>
                <w:lang w:eastAsia="it-IT"/>
              </w:rPr>
              <w:t>Utile (Perdita) della operatività corrente al lordo delle imposte</w:t>
            </w:r>
          </w:p>
        </w:tc>
        <w:tc>
          <w:tcPr>
            <w:tcW w:w="147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b/>
                <w:color w:val="000000"/>
                <w:sz w:val="16"/>
                <w:lang w:eastAsia="it-IT"/>
              </w:rPr>
              <w:t>8.432.822</w:t>
            </w:r>
          </w:p>
        </w:tc>
        <w:tc>
          <w:tcPr>
            <w:tcW w:w="1418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b/>
                <w:color w:val="000000"/>
                <w:sz w:val="16"/>
                <w:lang w:eastAsia="it-IT"/>
              </w:rPr>
              <w:t>9.790.204</w:t>
            </w:r>
          </w:p>
        </w:tc>
      </w:tr>
      <w:tr w:rsidR="00B82667" w:rsidRPr="00B82667" w:rsidTr="00707A64">
        <w:tc>
          <w:tcPr>
            <w:tcW w:w="41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270.</w:t>
            </w:r>
          </w:p>
        </w:tc>
        <w:tc>
          <w:tcPr>
            <w:tcW w:w="643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Imposte sul reddito dell'esercizio dell'operatività corrente</w:t>
            </w:r>
          </w:p>
        </w:tc>
        <w:tc>
          <w:tcPr>
            <w:tcW w:w="147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FF0000"/>
                <w:sz w:val="16"/>
                <w:lang w:eastAsia="it-IT"/>
              </w:rPr>
              <w:t>(2.158.674)</w:t>
            </w:r>
          </w:p>
        </w:tc>
        <w:tc>
          <w:tcPr>
            <w:tcW w:w="1418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FF0000"/>
                <w:sz w:val="16"/>
                <w:lang w:eastAsia="it-IT"/>
              </w:rPr>
              <w:t>(2.753.801)</w:t>
            </w:r>
          </w:p>
        </w:tc>
      </w:tr>
      <w:tr w:rsidR="00B82667" w:rsidRPr="00B82667" w:rsidTr="00707A64">
        <w:tc>
          <w:tcPr>
            <w:tcW w:w="41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b/>
                <w:color w:val="000000"/>
                <w:sz w:val="16"/>
                <w:lang w:eastAsia="it-IT"/>
              </w:rPr>
              <w:t>280.</w:t>
            </w:r>
          </w:p>
        </w:tc>
        <w:tc>
          <w:tcPr>
            <w:tcW w:w="643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b/>
                <w:color w:val="000000"/>
                <w:sz w:val="16"/>
                <w:lang w:eastAsia="it-IT"/>
              </w:rPr>
              <w:t>Utile (Perdita) della operatività corrente al netto delle imposte</w:t>
            </w:r>
          </w:p>
        </w:tc>
        <w:tc>
          <w:tcPr>
            <w:tcW w:w="147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b/>
                <w:color w:val="000000"/>
                <w:sz w:val="16"/>
                <w:lang w:eastAsia="it-IT"/>
              </w:rPr>
              <w:t>6.274.148</w:t>
            </w:r>
          </w:p>
        </w:tc>
        <w:tc>
          <w:tcPr>
            <w:tcW w:w="1418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b/>
                <w:color w:val="000000"/>
                <w:sz w:val="16"/>
                <w:lang w:eastAsia="it-IT"/>
              </w:rPr>
              <w:t>7.036.403</w:t>
            </w:r>
          </w:p>
        </w:tc>
      </w:tr>
      <w:tr w:rsidR="00B82667" w:rsidRPr="00B82667" w:rsidTr="00707A64">
        <w:tc>
          <w:tcPr>
            <w:tcW w:w="41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color w:val="000000"/>
                <w:sz w:val="16"/>
                <w:lang w:eastAsia="it-IT"/>
              </w:rPr>
              <w:t>290.</w:t>
            </w:r>
          </w:p>
        </w:tc>
        <w:tc>
          <w:tcPr>
            <w:tcW w:w="643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Utile (Perdita) delle attività operative cessate al netto delle imposte</w:t>
            </w:r>
          </w:p>
        </w:tc>
        <w:tc>
          <w:tcPr>
            <w:tcW w:w="147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8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B82667" w:rsidRPr="00B82667" w:rsidTr="00707A64">
        <w:tc>
          <w:tcPr>
            <w:tcW w:w="412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b/>
                <w:color w:val="000000"/>
                <w:sz w:val="16"/>
                <w:lang w:eastAsia="it-IT"/>
              </w:rPr>
              <w:t>300.</w:t>
            </w:r>
          </w:p>
        </w:tc>
        <w:tc>
          <w:tcPr>
            <w:tcW w:w="6436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Arial" w:cs="Arial"/>
                <w:b/>
                <w:color w:val="000000"/>
                <w:sz w:val="16"/>
                <w:lang w:eastAsia="it-IT"/>
              </w:rPr>
              <w:t>Utile (Perdita) di periodo</w:t>
            </w:r>
          </w:p>
        </w:tc>
        <w:tc>
          <w:tcPr>
            <w:tcW w:w="1474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b/>
                <w:color w:val="000000"/>
                <w:sz w:val="16"/>
                <w:lang w:eastAsia="it-IT"/>
              </w:rPr>
              <w:t>6.274.148</w:t>
            </w:r>
          </w:p>
        </w:tc>
        <w:tc>
          <w:tcPr>
            <w:tcW w:w="1418" w:type="dxa"/>
            <w:tcBorders>
              <w:left w:val="single" w:sz="0" w:space="0" w:color="007D57"/>
              <w:bottom w:val="single" w:sz="0" w:space="0" w:color="007D57"/>
            </w:tcBorders>
            <w:shd w:val="clear" w:color="auto" w:fill="FFFFFF"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</w:tcPr>
          <w:p w:rsidR="00B82667" w:rsidRPr="00B82667" w:rsidRDefault="00B82667" w:rsidP="00B82667">
            <w:pPr>
              <w:spacing w:after="0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B82667">
              <w:rPr>
                <w:rFonts w:ascii="Arial" w:eastAsia="Times New Roman" w:hAnsi="Calibri" w:cs="Times New Roman"/>
                <w:b/>
                <w:color w:val="000000"/>
                <w:sz w:val="16"/>
                <w:lang w:eastAsia="it-IT"/>
              </w:rPr>
              <w:t>7.036.403</w:t>
            </w:r>
          </w:p>
        </w:tc>
      </w:tr>
    </w:tbl>
    <w:p w:rsidR="00BD70FA" w:rsidRPr="00980E0F" w:rsidRDefault="00BD70FA" w:rsidP="00ED3624">
      <w:pPr>
        <w:rPr>
          <w:color w:val="007D57"/>
          <w:lang w:eastAsia="x-none"/>
        </w:rPr>
      </w:pPr>
    </w:p>
    <w:sectPr w:rsidR="00BD70FA" w:rsidRPr="00980E0F" w:rsidSect="00A11C28">
      <w:headerReference w:type="default" r:id="rId11"/>
      <w:footerReference w:type="default" r:id="rId12"/>
      <w:pgSz w:w="11906" w:h="16838"/>
      <w:pgMar w:top="2410" w:right="424" w:bottom="1134" w:left="993" w:header="139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4A2" w:rsidRDefault="009F04A2" w:rsidP="00B067B2">
      <w:pPr>
        <w:spacing w:after="0" w:line="240" w:lineRule="auto"/>
      </w:pPr>
      <w:r>
        <w:separator/>
      </w:r>
    </w:p>
  </w:endnote>
  <w:endnote w:type="continuationSeparator" w:id="0">
    <w:p w:rsidR="009F04A2" w:rsidRDefault="009F04A2" w:rsidP="00B06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5357626"/>
      <w:docPartObj>
        <w:docPartGallery w:val="Page Numbers (Bottom of Page)"/>
        <w:docPartUnique/>
      </w:docPartObj>
    </w:sdtPr>
    <w:sdtEndPr/>
    <w:sdtContent>
      <w:p w:rsidR="001D0A0A" w:rsidRDefault="001D0A0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7D2">
          <w:rPr>
            <w:noProof/>
          </w:rPr>
          <w:t>6</w:t>
        </w:r>
        <w:r>
          <w:fldChar w:fldCharType="end"/>
        </w:r>
      </w:p>
    </w:sdtContent>
  </w:sdt>
  <w:p w:rsidR="001D0A0A" w:rsidRDefault="001D0A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4A2" w:rsidRDefault="009F04A2" w:rsidP="00B067B2">
      <w:pPr>
        <w:spacing w:after="0" w:line="240" w:lineRule="auto"/>
      </w:pPr>
      <w:r>
        <w:separator/>
      </w:r>
    </w:p>
  </w:footnote>
  <w:footnote w:type="continuationSeparator" w:id="0">
    <w:p w:rsidR="009F04A2" w:rsidRDefault="009F04A2" w:rsidP="00B067B2">
      <w:pPr>
        <w:spacing w:after="0" w:line="240" w:lineRule="auto"/>
      </w:pPr>
      <w:r>
        <w:continuationSeparator/>
      </w:r>
    </w:p>
  </w:footnote>
  <w:footnote w:id="1">
    <w:p w:rsidR="001D0A0A" w:rsidRPr="007A6B23" w:rsidRDefault="001D0A0A" w:rsidP="00CF453B">
      <w:pPr>
        <w:pStyle w:val="Default"/>
        <w:jc w:val="both"/>
        <w:rPr>
          <w:rFonts w:ascii="Calibri" w:eastAsia="Calibri" w:hAnsi="Calibri"/>
          <w:iCs/>
          <w:sz w:val="16"/>
          <w:szCs w:val="16"/>
        </w:rPr>
      </w:pPr>
      <w:r>
        <w:rPr>
          <w:rFonts w:ascii="Calibri" w:eastAsia="Calibri" w:hAnsi="Calibri"/>
          <w:iCs/>
          <w:sz w:val="16"/>
          <w:szCs w:val="16"/>
        </w:rPr>
        <w:t>1</w:t>
      </w:r>
      <w:r w:rsidRPr="007A6B23">
        <w:rPr>
          <w:rFonts w:ascii="Calibri" w:eastAsia="Calibri" w:hAnsi="Calibri"/>
          <w:iCs/>
          <w:sz w:val="16"/>
          <w:szCs w:val="16"/>
        </w:rPr>
        <w:t xml:space="preserve"> Incluso l’</w:t>
      </w:r>
      <w:r>
        <w:rPr>
          <w:rFonts w:ascii="Calibri" w:eastAsia="Calibri" w:hAnsi="Calibri"/>
          <w:iCs/>
          <w:sz w:val="16"/>
          <w:szCs w:val="16"/>
        </w:rPr>
        <w:t>utile netto di periodo</w:t>
      </w:r>
      <w:r w:rsidRPr="007A6B23">
        <w:rPr>
          <w:rFonts w:ascii="Calibri" w:eastAsia="Calibri" w:hAnsi="Calibri"/>
          <w:i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A0A" w:rsidRDefault="001D0A0A" w:rsidP="00F873E5">
    <w:pPr>
      <w:pStyle w:val="Intestazione"/>
      <w:ind w:left="-1134"/>
      <w:jc w:val="center"/>
    </w:pPr>
    <w:r w:rsidRPr="00F873E5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8EC6DE5" wp14:editId="5140DE08">
          <wp:simplePos x="0" y="0"/>
          <wp:positionH relativeFrom="column">
            <wp:posOffset>3810</wp:posOffset>
          </wp:positionH>
          <wp:positionV relativeFrom="paragraph">
            <wp:posOffset>-424180</wp:posOffset>
          </wp:positionV>
          <wp:extent cx="1612900" cy="1103951"/>
          <wp:effectExtent l="0" t="0" r="6350" b="1270"/>
          <wp:wrapNone/>
          <wp:docPr id="8" name="Immagine 8" descr="C:\Users\santinor\AppData\Local\Microsoft\Windows\INetCache\Content.Outlook\30V33RW5\ML_MCC_INVITALIA_POS_COLOR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tinor\AppData\Local\Microsoft\Windows\INetCache\Content.Outlook\30V33RW5\ML_MCC_INVITALIA_POS_COLOR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1103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92ABB4" wp14:editId="55D1E737">
              <wp:simplePos x="0" y="0"/>
              <wp:positionH relativeFrom="column">
                <wp:posOffset>1216660</wp:posOffset>
              </wp:positionH>
              <wp:positionV relativeFrom="paragraph">
                <wp:posOffset>-74930</wp:posOffset>
              </wp:positionV>
              <wp:extent cx="1314450" cy="552450"/>
              <wp:effectExtent l="0" t="0" r="0" b="0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4450" cy="5524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F8F5C2" id="Rettangolo 2" o:spid="_x0000_s1026" style="position:absolute;margin-left:95.8pt;margin-top:-5.9pt;width:103.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" fillcolor="white [3212]" stroked="f" strokeweight="1pt"/>
          </w:pict>
        </mc:Fallback>
      </mc:AlternateContent>
    </w:r>
  </w:p>
  <w:p w:rsidR="001D0A0A" w:rsidRDefault="001D0A0A" w:rsidP="00FA69B6">
    <w:pPr>
      <w:pStyle w:val="Intestazione"/>
      <w:jc w:val="center"/>
    </w:pPr>
  </w:p>
  <w:p w:rsidR="001D0A0A" w:rsidRDefault="001D0A0A" w:rsidP="00AB2A2E">
    <w:pPr>
      <w:pStyle w:val="Intestazione"/>
      <w:tabs>
        <w:tab w:val="left" w:pos="423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6423F"/>
    <w:multiLevelType w:val="hybridMultilevel"/>
    <w:tmpl w:val="52CE129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008F4"/>
    <w:multiLevelType w:val="hybridMultilevel"/>
    <w:tmpl w:val="4598445A"/>
    <w:lvl w:ilvl="0" w:tplc="103C112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8D3FCB"/>
    <w:multiLevelType w:val="hybridMultilevel"/>
    <w:tmpl w:val="2528E9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D2C11"/>
    <w:multiLevelType w:val="hybridMultilevel"/>
    <w:tmpl w:val="62469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6113A"/>
    <w:multiLevelType w:val="hybridMultilevel"/>
    <w:tmpl w:val="4314B664"/>
    <w:lvl w:ilvl="0" w:tplc="0410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13302B7"/>
    <w:multiLevelType w:val="hybridMultilevel"/>
    <w:tmpl w:val="A7669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540CA"/>
    <w:multiLevelType w:val="hybridMultilevel"/>
    <w:tmpl w:val="8ABA9C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127B1"/>
    <w:multiLevelType w:val="hybridMultilevel"/>
    <w:tmpl w:val="209C76D6"/>
    <w:lvl w:ilvl="0" w:tplc="0410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8" w15:restartNumberingAfterBreak="0">
    <w:nsid w:val="18064277"/>
    <w:multiLevelType w:val="hybridMultilevel"/>
    <w:tmpl w:val="2BDE625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D4C2B1D"/>
    <w:multiLevelType w:val="hybridMultilevel"/>
    <w:tmpl w:val="4216C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166A6"/>
    <w:multiLevelType w:val="hybridMultilevel"/>
    <w:tmpl w:val="928EF1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A167E"/>
    <w:multiLevelType w:val="hybridMultilevel"/>
    <w:tmpl w:val="37089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36D38"/>
    <w:multiLevelType w:val="hybridMultilevel"/>
    <w:tmpl w:val="8028E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F3E38"/>
    <w:multiLevelType w:val="hybridMultilevel"/>
    <w:tmpl w:val="72BC2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F54E0"/>
    <w:multiLevelType w:val="hybridMultilevel"/>
    <w:tmpl w:val="5E9622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136CC"/>
    <w:multiLevelType w:val="hybridMultilevel"/>
    <w:tmpl w:val="DCD2F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60501"/>
    <w:multiLevelType w:val="hybridMultilevel"/>
    <w:tmpl w:val="33A0F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42BEB"/>
    <w:multiLevelType w:val="hybridMultilevel"/>
    <w:tmpl w:val="19DA06EC"/>
    <w:lvl w:ilvl="0" w:tplc="BFE66FD4">
      <w:start w:val="1"/>
      <w:numFmt w:val="bullet"/>
      <w:lvlText w:val="-"/>
      <w:lvlJc w:val="left"/>
      <w:pPr>
        <w:ind w:left="790" w:hanging="360"/>
      </w:pPr>
      <w:rPr>
        <w:rFonts w:ascii="Segoe UI" w:hAnsi="Segoe UI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8" w15:restartNumberingAfterBreak="0">
    <w:nsid w:val="31B22C9E"/>
    <w:multiLevelType w:val="hybridMultilevel"/>
    <w:tmpl w:val="B62A0740"/>
    <w:lvl w:ilvl="0" w:tplc="721041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2440BFD"/>
    <w:multiLevelType w:val="hybridMultilevel"/>
    <w:tmpl w:val="1F708C1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26048B4"/>
    <w:multiLevelType w:val="hybridMultilevel"/>
    <w:tmpl w:val="0B5AE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4864E6"/>
    <w:multiLevelType w:val="hybridMultilevel"/>
    <w:tmpl w:val="6A1AC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4612F"/>
    <w:multiLevelType w:val="hybridMultilevel"/>
    <w:tmpl w:val="7570D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45E4E"/>
    <w:multiLevelType w:val="hybridMultilevel"/>
    <w:tmpl w:val="24F63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125D6"/>
    <w:multiLevelType w:val="hybridMultilevel"/>
    <w:tmpl w:val="826CE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90A2E"/>
    <w:multiLevelType w:val="hybridMultilevel"/>
    <w:tmpl w:val="7A381822"/>
    <w:lvl w:ilvl="0" w:tplc="103C112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F367F3"/>
    <w:multiLevelType w:val="hybridMultilevel"/>
    <w:tmpl w:val="6AE6854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4F1D3B"/>
    <w:multiLevelType w:val="hybridMultilevel"/>
    <w:tmpl w:val="3E247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334AA2"/>
    <w:multiLevelType w:val="hybridMultilevel"/>
    <w:tmpl w:val="DFBCD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791CBE"/>
    <w:multiLevelType w:val="hybridMultilevel"/>
    <w:tmpl w:val="6BD06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F6518A"/>
    <w:multiLevelType w:val="hybridMultilevel"/>
    <w:tmpl w:val="9D5C7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B56B61"/>
    <w:multiLevelType w:val="hybridMultilevel"/>
    <w:tmpl w:val="BE4608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062A5C"/>
    <w:multiLevelType w:val="hybridMultilevel"/>
    <w:tmpl w:val="6A2CA4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D1EF9"/>
    <w:multiLevelType w:val="hybridMultilevel"/>
    <w:tmpl w:val="CEFAEE9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FC25DF1"/>
    <w:multiLevelType w:val="hybridMultilevel"/>
    <w:tmpl w:val="08723984"/>
    <w:lvl w:ilvl="0" w:tplc="474A4B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B3CF6"/>
    <w:multiLevelType w:val="hybridMultilevel"/>
    <w:tmpl w:val="AF667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7B24E7"/>
    <w:multiLevelType w:val="hybridMultilevel"/>
    <w:tmpl w:val="AB4E5BFE"/>
    <w:lvl w:ilvl="0" w:tplc="04100005">
      <w:start w:val="1"/>
      <w:numFmt w:val="bullet"/>
      <w:lvlText w:val=""/>
      <w:lvlJc w:val="left"/>
      <w:pPr>
        <w:ind w:left="93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37" w15:restartNumberingAfterBreak="0">
    <w:nsid w:val="6C9F5FDB"/>
    <w:multiLevelType w:val="hybridMultilevel"/>
    <w:tmpl w:val="355A07BC"/>
    <w:lvl w:ilvl="0" w:tplc="103C1126">
      <w:numFmt w:val="bullet"/>
      <w:lvlText w:val="-"/>
      <w:lvlJc w:val="left"/>
      <w:pPr>
        <w:ind w:left="79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8" w15:restartNumberingAfterBreak="0">
    <w:nsid w:val="72A86439"/>
    <w:multiLevelType w:val="hybridMultilevel"/>
    <w:tmpl w:val="55923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0F431C"/>
    <w:multiLevelType w:val="hybridMultilevel"/>
    <w:tmpl w:val="C5840F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CE4152"/>
    <w:multiLevelType w:val="hybridMultilevel"/>
    <w:tmpl w:val="6D9EE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8F22AE"/>
    <w:multiLevelType w:val="hybridMultilevel"/>
    <w:tmpl w:val="2FC899AA"/>
    <w:lvl w:ilvl="0" w:tplc="103C11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9F67AF"/>
    <w:multiLevelType w:val="hybridMultilevel"/>
    <w:tmpl w:val="E56294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6"/>
  </w:num>
  <w:num w:numId="4">
    <w:abstractNumId w:val="40"/>
  </w:num>
  <w:num w:numId="5">
    <w:abstractNumId w:val="28"/>
  </w:num>
  <w:num w:numId="6">
    <w:abstractNumId w:val="29"/>
  </w:num>
  <w:num w:numId="7">
    <w:abstractNumId w:val="32"/>
  </w:num>
  <w:num w:numId="8">
    <w:abstractNumId w:val="8"/>
  </w:num>
  <w:num w:numId="9">
    <w:abstractNumId w:val="11"/>
  </w:num>
  <w:num w:numId="10">
    <w:abstractNumId w:val="14"/>
  </w:num>
  <w:num w:numId="11">
    <w:abstractNumId w:val="27"/>
  </w:num>
  <w:num w:numId="12">
    <w:abstractNumId w:val="15"/>
  </w:num>
  <w:num w:numId="13">
    <w:abstractNumId w:val="12"/>
  </w:num>
  <w:num w:numId="14">
    <w:abstractNumId w:val="22"/>
  </w:num>
  <w:num w:numId="15">
    <w:abstractNumId w:val="5"/>
  </w:num>
  <w:num w:numId="16">
    <w:abstractNumId w:val="35"/>
  </w:num>
  <w:num w:numId="17">
    <w:abstractNumId w:val="9"/>
  </w:num>
  <w:num w:numId="18">
    <w:abstractNumId w:val="30"/>
  </w:num>
  <w:num w:numId="19">
    <w:abstractNumId w:val="23"/>
  </w:num>
  <w:num w:numId="20">
    <w:abstractNumId w:val="38"/>
  </w:num>
  <w:num w:numId="21">
    <w:abstractNumId w:val="31"/>
  </w:num>
  <w:num w:numId="22">
    <w:abstractNumId w:val="20"/>
  </w:num>
  <w:num w:numId="23">
    <w:abstractNumId w:val="0"/>
  </w:num>
  <w:num w:numId="24">
    <w:abstractNumId w:val="6"/>
  </w:num>
  <w:num w:numId="25">
    <w:abstractNumId w:val="42"/>
  </w:num>
  <w:num w:numId="26">
    <w:abstractNumId w:val="10"/>
  </w:num>
  <w:num w:numId="27">
    <w:abstractNumId w:val="26"/>
  </w:num>
  <w:num w:numId="28">
    <w:abstractNumId w:val="39"/>
  </w:num>
  <w:num w:numId="29">
    <w:abstractNumId w:val="33"/>
  </w:num>
  <w:num w:numId="30">
    <w:abstractNumId w:val="24"/>
  </w:num>
  <w:num w:numId="31">
    <w:abstractNumId w:val="19"/>
  </w:num>
  <w:num w:numId="32">
    <w:abstractNumId w:val="13"/>
  </w:num>
  <w:num w:numId="33">
    <w:abstractNumId w:val="7"/>
  </w:num>
  <w:num w:numId="34">
    <w:abstractNumId w:val="17"/>
  </w:num>
  <w:num w:numId="35">
    <w:abstractNumId w:val="2"/>
  </w:num>
  <w:num w:numId="36">
    <w:abstractNumId w:val="41"/>
  </w:num>
  <w:num w:numId="37">
    <w:abstractNumId w:val="34"/>
  </w:num>
  <w:num w:numId="38">
    <w:abstractNumId w:val="36"/>
  </w:num>
  <w:num w:numId="39">
    <w:abstractNumId w:val="25"/>
  </w:num>
  <w:num w:numId="40">
    <w:abstractNumId w:val="1"/>
  </w:num>
  <w:num w:numId="41">
    <w:abstractNumId w:val="37"/>
  </w:num>
  <w:num w:numId="42">
    <w:abstractNumId w:val="18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605"/>
    <w:rsid w:val="0000318C"/>
    <w:rsid w:val="00004151"/>
    <w:rsid w:val="00004E16"/>
    <w:rsid w:val="00007022"/>
    <w:rsid w:val="000178D3"/>
    <w:rsid w:val="000269FC"/>
    <w:rsid w:val="0002763C"/>
    <w:rsid w:val="00030994"/>
    <w:rsid w:val="000373AD"/>
    <w:rsid w:val="0005057A"/>
    <w:rsid w:val="00052A68"/>
    <w:rsid w:val="000549E8"/>
    <w:rsid w:val="00057632"/>
    <w:rsid w:val="0006338A"/>
    <w:rsid w:val="000635E5"/>
    <w:rsid w:val="0006391C"/>
    <w:rsid w:val="000662BA"/>
    <w:rsid w:val="00074B1F"/>
    <w:rsid w:val="00083475"/>
    <w:rsid w:val="00085822"/>
    <w:rsid w:val="00091905"/>
    <w:rsid w:val="00097E6B"/>
    <w:rsid w:val="000B4A3F"/>
    <w:rsid w:val="000B5E41"/>
    <w:rsid w:val="000B6354"/>
    <w:rsid w:val="000D02FC"/>
    <w:rsid w:val="000D1081"/>
    <w:rsid w:val="000D4A1C"/>
    <w:rsid w:val="000D6DC6"/>
    <w:rsid w:val="000D7760"/>
    <w:rsid w:val="000E1968"/>
    <w:rsid w:val="000E26F5"/>
    <w:rsid w:val="000F3889"/>
    <w:rsid w:val="000F481A"/>
    <w:rsid w:val="000F697A"/>
    <w:rsid w:val="000F6AF1"/>
    <w:rsid w:val="0010073F"/>
    <w:rsid w:val="001070CA"/>
    <w:rsid w:val="001079DF"/>
    <w:rsid w:val="00114989"/>
    <w:rsid w:val="00121102"/>
    <w:rsid w:val="0012136A"/>
    <w:rsid w:val="001217D5"/>
    <w:rsid w:val="00121E13"/>
    <w:rsid w:val="00123E23"/>
    <w:rsid w:val="00127AD0"/>
    <w:rsid w:val="0013305A"/>
    <w:rsid w:val="0013523F"/>
    <w:rsid w:val="00135884"/>
    <w:rsid w:val="001359D6"/>
    <w:rsid w:val="001378C9"/>
    <w:rsid w:val="00140A13"/>
    <w:rsid w:val="00141E54"/>
    <w:rsid w:val="001538E4"/>
    <w:rsid w:val="00156DC0"/>
    <w:rsid w:val="00156E42"/>
    <w:rsid w:val="001608B8"/>
    <w:rsid w:val="00161935"/>
    <w:rsid w:val="00165857"/>
    <w:rsid w:val="00166640"/>
    <w:rsid w:val="00172916"/>
    <w:rsid w:val="0017672C"/>
    <w:rsid w:val="00176CB1"/>
    <w:rsid w:val="0017720F"/>
    <w:rsid w:val="00185118"/>
    <w:rsid w:val="00187A7B"/>
    <w:rsid w:val="001913DC"/>
    <w:rsid w:val="00196322"/>
    <w:rsid w:val="001A0924"/>
    <w:rsid w:val="001A161D"/>
    <w:rsid w:val="001A287C"/>
    <w:rsid w:val="001A5AFA"/>
    <w:rsid w:val="001C0248"/>
    <w:rsid w:val="001D099A"/>
    <w:rsid w:val="001D0A0A"/>
    <w:rsid w:val="001D5BF7"/>
    <w:rsid w:val="001E0236"/>
    <w:rsid w:val="001E26B4"/>
    <w:rsid w:val="001E5710"/>
    <w:rsid w:val="001E7C9A"/>
    <w:rsid w:val="001F0C0B"/>
    <w:rsid w:val="001F129A"/>
    <w:rsid w:val="00202462"/>
    <w:rsid w:val="002109FC"/>
    <w:rsid w:val="00212C0C"/>
    <w:rsid w:val="00220BC6"/>
    <w:rsid w:val="002236CB"/>
    <w:rsid w:val="00230BA2"/>
    <w:rsid w:val="00231738"/>
    <w:rsid w:val="0023498B"/>
    <w:rsid w:val="00240420"/>
    <w:rsid w:val="00247803"/>
    <w:rsid w:val="0025658A"/>
    <w:rsid w:val="002602BD"/>
    <w:rsid w:val="002634CD"/>
    <w:rsid w:val="002662FC"/>
    <w:rsid w:val="00275943"/>
    <w:rsid w:val="00276955"/>
    <w:rsid w:val="00282EAF"/>
    <w:rsid w:val="00283115"/>
    <w:rsid w:val="00285C52"/>
    <w:rsid w:val="00286442"/>
    <w:rsid w:val="0028755D"/>
    <w:rsid w:val="00296560"/>
    <w:rsid w:val="00296D78"/>
    <w:rsid w:val="002A0BFE"/>
    <w:rsid w:val="002A4C71"/>
    <w:rsid w:val="002A69B6"/>
    <w:rsid w:val="002A76F6"/>
    <w:rsid w:val="002B5305"/>
    <w:rsid w:val="002C0ED3"/>
    <w:rsid w:val="002D33B6"/>
    <w:rsid w:val="002E37C6"/>
    <w:rsid w:val="0030191D"/>
    <w:rsid w:val="00302BC7"/>
    <w:rsid w:val="003035C2"/>
    <w:rsid w:val="00305890"/>
    <w:rsid w:val="003115EE"/>
    <w:rsid w:val="00314AB4"/>
    <w:rsid w:val="00317664"/>
    <w:rsid w:val="00320FF0"/>
    <w:rsid w:val="003214BD"/>
    <w:rsid w:val="00330A74"/>
    <w:rsid w:val="003364DF"/>
    <w:rsid w:val="003433B8"/>
    <w:rsid w:val="003443DE"/>
    <w:rsid w:val="003453B4"/>
    <w:rsid w:val="003459D5"/>
    <w:rsid w:val="00350711"/>
    <w:rsid w:val="00354414"/>
    <w:rsid w:val="00356C7E"/>
    <w:rsid w:val="00362194"/>
    <w:rsid w:val="00362419"/>
    <w:rsid w:val="00363117"/>
    <w:rsid w:val="00366AF1"/>
    <w:rsid w:val="00380730"/>
    <w:rsid w:val="00382072"/>
    <w:rsid w:val="00392DD5"/>
    <w:rsid w:val="003A561F"/>
    <w:rsid w:val="003A5EAB"/>
    <w:rsid w:val="003B0F50"/>
    <w:rsid w:val="003B409F"/>
    <w:rsid w:val="003C0632"/>
    <w:rsid w:val="003D0DC3"/>
    <w:rsid w:val="003D14FE"/>
    <w:rsid w:val="003D3562"/>
    <w:rsid w:val="003D3721"/>
    <w:rsid w:val="003D425B"/>
    <w:rsid w:val="003D67E8"/>
    <w:rsid w:val="003D6C84"/>
    <w:rsid w:val="003D7C50"/>
    <w:rsid w:val="003E5F52"/>
    <w:rsid w:val="003F0CE6"/>
    <w:rsid w:val="003F25C3"/>
    <w:rsid w:val="003F3284"/>
    <w:rsid w:val="003F4ED7"/>
    <w:rsid w:val="003F76DA"/>
    <w:rsid w:val="0040516E"/>
    <w:rsid w:val="00405957"/>
    <w:rsid w:val="00412D18"/>
    <w:rsid w:val="00414018"/>
    <w:rsid w:val="00415FB7"/>
    <w:rsid w:val="00417BB1"/>
    <w:rsid w:val="0042779E"/>
    <w:rsid w:val="00430EED"/>
    <w:rsid w:val="0043357D"/>
    <w:rsid w:val="00444C94"/>
    <w:rsid w:val="0045232C"/>
    <w:rsid w:val="0045357A"/>
    <w:rsid w:val="00453DE9"/>
    <w:rsid w:val="00456A64"/>
    <w:rsid w:val="0046251E"/>
    <w:rsid w:val="0046760A"/>
    <w:rsid w:val="0049079A"/>
    <w:rsid w:val="00492DCC"/>
    <w:rsid w:val="00493E20"/>
    <w:rsid w:val="004A34E5"/>
    <w:rsid w:val="004A549D"/>
    <w:rsid w:val="004B77A1"/>
    <w:rsid w:val="004C3234"/>
    <w:rsid w:val="004D29B4"/>
    <w:rsid w:val="004D3357"/>
    <w:rsid w:val="004D4BDE"/>
    <w:rsid w:val="004F4D36"/>
    <w:rsid w:val="004F7063"/>
    <w:rsid w:val="00500C01"/>
    <w:rsid w:val="00502CA6"/>
    <w:rsid w:val="005049D8"/>
    <w:rsid w:val="0051181D"/>
    <w:rsid w:val="0052291E"/>
    <w:rsid w:val="00524498"/>
    <w:rsid w:val="00524501"/>
    <w:rsid w:val="005342E1"/>
    <w:rsid w:val="00536218"/>
    <w:rsid w:val="00541013"/>
    <w:rsid w:val="00541F25"/>
    <w:rsid w:val="0054528A"/>
    <w:rsid w:val="0054539E"/>
    <w:rsid w:val="00546187"/>
    <w:rsid w:val="00550ADE"/>
    <w:rsid w:val="0055679F"/>
    <w:rsid w:val="0056244F"/>
    <w:rsid w:val="00582931"/>
    <w:rsid w:val="00583914"/>
    <w:rsid w:val="00586E1F"/>
    <w:rsid w:val="00590725"/>
    <w:rsid w:val="005A58CF"/>
    <w:rsid w:val="005B33B7"/>
    <w:rsid w:val="005B6349"/>
    <w:rsid w:val="005C7574"/>
    <w:rsid w:val="005D3795"/>
    <w:rsid w:val="005D49AB"/>
    <w:rsid w:val="005D6C2D"/>
    <w:rsid w:val="005E0DF6"/>
    <w:rsid w:val="005E1756"/>
    <w:rsid w:val="005F00B9"/>
    <w:rsid w:val="005F0B17"/>
    <w:rsid w:val="005F74FA"/>
    <w:rsid w:val="005F756B"/>
    <w:rsid w:val="006003DD"/>
    <w:rsid w:val="00601CFB"/>
    <w:rsid w:val="0060354D"/>
    <w:rsid w:val="00622C3E"/>
    <w:rsid w:val="006239F5"/>
    <w:rsid w:val="00625240"/>
    <w:rsid w:val="00632257"/>
    <w:rsid w:val="00633163"/>
    <w:rsid w:val="0063517F"/>
    <w:rsid w:val="0064197A"/>
    <w:rsid w:val="006439DC"/>
    <w:rsid w:val="00644D6E"/>
    <w:rsid w:val="00645103"/>
    <w:rsid w:val="00646628"/>
    <w:rsid w:val="006470AD"/>
    <w:rsid w:val="00650329"/>
    <w:rsid w:val="006523C8"/>
    <w:rsid w:val="006574B5"/>
    <w:rsid w:val="00660C64"/>
    <w:rsid w:val="006615A1"/>
    <w:rsid w:val="00661B7D"/>
    <w:rsid w:val="00665F39"/>
    <w:rsid w:val="00667948"/>
    <w:rsid w:val="00667F79"/>
    <w:rsid w:val="006717DA"/>
    <w:rsid w:val="00680356"/>
    <w:rsid w:val="00682006"/>
    <w:rsid w:val="006925EF"/>
    <w:rsid w:val="0069613A"/>
    <w:rsid w:val="006970FA"/>
    <w:rsid w:val="006A2A60"/>
    <w:rsid w:val="006A3D8A"/>
    <w:rsid w:val="006B3AC7"/>
    <w:rsid w:val="006B5F8B"/>
    <w:rsid w:val="006C22EF"/>
    <w:rsid w:val="006D1813"/>
    <w:rsid w:val="006D2223"/>
    <w:rsid w:val="006D2C14"/>
    <w:rsid w:val="006E0A16"/>
    <w:rsid w:val="006E4009"/>
    <w:rsid w:val="006E4D28"/>
    <w:rsid w:val="006E6806"/>
    <w:rsid w:val="006E7CFF"/>
    <w:rsid w:val="006F2624"/>
    <w:rsid w:val="006F36A9"/>
    <w:rsid w:val="006F5948"/>
    <w:rsid w:val="006F5A8C"/>
    <w:rsid w:val="006F73F9"/>
    <w:rsid w:val="0070113B"/>
    <w:rsid w:val="00706929"/>
    <w:rsid w:val="00707A64"/>
    <w:rsid w:val="00714657"/>
    <w:rsid w:val="007154AB"/>
    <w:rsid w:val="00716E5E"/>
    <w:rsid w:val="007302AD"/>
    <w:rsid w:val="00732DAD"/>
    <w:rsid w:val="007425C8"/>
    <w:rsid w:val="00744871"/>
    <w:rsid w:val="0074510C"/>
    <w:rsid w:val="00745263"/>
    <w:rsid w:val="00745666"/>
    <w:rsid w:val="007460AE"/>
    <w:rsid w:val="00752EBA"/>
    <w:rsid w:val="00756A3D"/>
    <w:rsid w:val="00761DE4"/>
    <w:rsid w:val="0076306F"/>
    <w:rsid w:val="007650D1"/>
    <w:rsid w:val="007669FA"/>
    <w:rsid w:val="00767E3C"/>
    <w:rsid w:val="00770DA6"/>
    <w:rsid w:val="007728EA"/>
    <w:rsid w:val="007732F0"/>
    <w:rsid w:val="00774D65"/>
    <w:rsid w:val="00775EA1"/>
    <w:rsid w:val="007761A8"/>
    <w:rsid w:val="00776E0D"/>
    <w:rsid w:val="0079332F"/>
    <w:rsid w:val="007A1869"/>
    <w:rsid w:val="007A6B23"/>
    <w:rsid w:val="007B491E"/>
    <w:rsid w:val="007B7ED8"/>
    <w:rsid w:val="007D057D"/>
    <w:rsid w:val="007D37CF"/>
    <w:rsid w:val="007F0702"/>
    <w:rsid w:val="00804EF4"/>
    <w:rsid w:val="00805408"/>
    <w:rsid w:val="00805C24"/>
    <w:rsid w:val="00806E29"/>
    <w:rsid w:val="0080753C"/>
    <w:rsid w:val="008142DF"/>
    <w:rsid w:val="00814AAB"/>
    <w:rsid w:val="00814C29"/>
    <w:rsid w:val="008159F6"/>
    <w:rsid w:val="008173C0"/>
    <w:rsid w:val="00820FE9"/>
    <w:rsid w:val="008223DF"/>
    <w:rsid w:val="00834E3D"/>
    <w:rsid w:val="00843597"/>
    <w:rsid w:val="008442FE"/>
    <w:rsid w:val="00846BF0"/>
    <w:rsid w:val="00851BA3"/>
    <w:rsid w:val="008607D4"/>
    <w:rsid w:val="00862275"/>
    <w:rsid w:val="0086287C"/>
    <w:rsid w:val="00863A8C"/>
    <w:rsid w:val="008650BB"/>
    <w:rsid w:val="00866984"/>
    <w:rsid w:val="008726BC"/>
    <w:rsid w:val="008776ED"/>
    <w:rsid w:val="00880797"/>
    <w:rsid w:val="0088545C"/>
    <w:rsid w:val="008908D9"/>
    <w:rsid w:val="0089425B"/>
    <w:rsid w:val="00894EE4"/>
    <w:rsid w:val="008A7278"/>
    <w:rsid w:val="008C15FB"/>
    <w:rsid w:val="008C1A11"/>
    <w:rsid w:val="008C293F"/>
    <w:rsid w:val="008C3159"/>
    <w:rsid w:val="008C333A"/>
    <w:rsid w:val="008C3A62"/>
    <w:rsid w:val="008C7A93"/>
    <w:rsid w:val="008D5704"/>
    <w:rsid w:val="008D578B"/>
    <w:rsid w:val="008D645C"/>
    <w:rsid w:val="008D74C9"/>
    <w:rsid w:val="008E0517"/>
    <w:rsid w:val="008E13E8"/>
    <w:rsid w:val="008E15F5"/>
    <w:rsid w:val="008F0266"/>
    <w:rsid w:val="008F34DC"/>
    <w:rsid w:val="008F3C6C"/>
    <w:rsid w:val="008F4DFE"/>
    <w:rsid w:val="008F55F8"/>
    <w:rsid w:val="00902F43"/>
    <w:rsid w:val="009041E0"/>
    <w:rsid w:val="00905D62"/>
    <w:rsid w:val="0091184A"/>
    <w:rsid w:val="00930CB8"/>
    <w:rsid w:val="009321C8"/>
    <w:rsid w:val="009353D4"/>
    <w:rsid w:val="00942CF8"/>
    <w:rsid w:val="009433DB"/>
    <w:rsid w:val="00943915"/>
    <w:rsid w:val="00950CDE"/>
    <w:rsid w:val="00955424"/>
    <w:rsid w:val="00962A6E"/>
    <w:rsid w:val="009633F6"/>
    <w:rsid w:val="00964C04"/>
    <w:rsid w:val="00966E33"/>
    <w:rsid w:val="0097048F"/>
    <w:rsid w:val="00971BFD"/>
    <w:rsid w:val="00980E0F"/>
    <w:rsid w:val="00980FD8"/>
    <w:rsid w:val="009824F4"/>
    <w:rsid w:val="0099359A"/>
    <w:rsid w:val="00993F71"/>
    <w:rsid w:val="00997FCC"/>
    <w:rsid w:val="009B4605"/>
    <w:rsid w:val="009C3C41"/>
    <w:rsid w:val="009C5433"/>
    <w:rsid w:val="009C6B6D"/>
    <w:rsid w:val="009D127E"/>
    <w:rsid w:val="009D1DBF"/>
    <w:rsid w:val="009D5AFC"/>
    <w:rsid w:val="009D63DF"/>
    <w:rsid w:val="009E3371"/>
    <w:rsid w:val="009E6229"/>
    <w:rsid w:val="009F04A2"/>
    <w:rsid w:val="009F0852"/>
    <w:rsid w:val="009F38B5"/>
    <w:rsid w:val="00A00C62"/>
    <w:rsid w:val="00A02FAE"/>
    <w:rsid w:val="00A0387F"/>
    <w:rsid w:val="00A039E6"/>
    <w:rsid w:val="00A066ED"/>
    <w:rsid w:val="00A11630"/>
    <w:rsid w:val="00A11C28"/>
    <w:rsid w:val="00A2318F"/>
    <w:rsid w:val="00A23CFD"/>
    <w:rsid w:val="00A319FE"/>
    <w:rsid w:val="00A320DC"/>
    <w:rsid w:val="00A33F6D"/>
    <w:rsid w:val="00A35EF7"/>
    <w:rsid w:val="00A3782C"/>
    <w:rsid w:val="00A51ECE"/>
    <w:rsid w:val="00A52A69"/>
    <w:rsid w:val="00A53304"/>
    <w:rsid w:val="00A537D2"/>
    <w:rsid w:val="00A53DB7"/>
    <w:rsid w:val="00A604CD"/>
    <w:rsid w:val="00A621F6"/>
    <w:rsid w:val="00A62682"/>
    <w:rsid w:val="00A63A22"/>
    <w:rsid w:val="00A658EE"/>
    <w:rsid w:val="00A66180"/>
    <w:rsid w:val="00A670CF"/>
    <w:rsid w:val="00A704E2"/>
    <w:rsid w:val="00A70643"/>
    <w:rsid w:val="00A809CA"/>
    <w:rsid w:val="00A81EB6"/>
    <w:rsid w:val="00A835FB"/>
    <w:rsid w:val="00A8755F"/>
    <w:rsid w:val="00A91399"/>
    <w:rsid w:val="00A96535"/>
    <w:rsid w:val="00AA6F41"/>
    <w:rsid w:val="00AB2A2E"/>
    <w:rsid w:val="00AB4F22"/>
    <w:rsid w:val="00AC25ED"/>
    <w:rsid w:val="00AC48BF"/>
    <w:rsid w:val="00AD1D24"/>
    <w:rsid w:val="00AD24ED"/>
    <w:rsid w:val="00AD4C39"/>
    <w:rsid w:val="00AE001D"/>
    <w:rsid w:val="00AE245A"/>
    <w:rsid w:val="00AE4A55"/>
    <w:rsid w:val="00AE4F2B"/>
    <w:rsid w:val="00AF091B"/>
    <w:rsid w:val="00AF0BCC"/>
    <w:rsid w:val="00AF4A2C"/>
    <w:rsid w:val="00AF7C96"/>
    <w:rsid w:val="00B03DF4"/>
    <w:rsid w:val="00B067B2"/>
    <w:rsid w:val="00B07E92"/>
    <w:rsid w:val="00B12AA2"/>
    <w:rsid w:val="00B201BE"/>
    <w:rsid w:val="00B213D7"/>
    <w:rsid w:val="00B21E83"/>
    <w:rsid w:val="00B261C9"/>
    <w:rsid w:val="00B2749B"/>
    <w:rsid w:val="00B51037"/>
    <w:rsid w:val="00B5167F"/>
    <w:rsid w:val="00B631D2"/>
    <w:rsid w:val="00B6388F"/>
    <w:rsid w:val="00B775CE"/>
    <w:rsid w:val="00B80C94"/>
    <w:rsid w:val="00B82667"/>
    <w:rsid w:val="00B9500A"/>
    <w:rsid w:val="00B97F63"/>
    <w:rsid w:val="00BA22D2"/>
    <w:rsid w:val="00BA3D33"/>
    <w:rsid w:val="00BB1FF8"/>
    <w:rsid w:val="00BB4812"/>
    <w:rsid w:val="00BC0D72"/>
    <w:rsid w:val="00BC2327"/>
    <w:rsid w:val="00BC70BC"/>
    <w:rsid w:val="00BD1539"/>
    <w:rsid w:val="00BD379D"/>
    <w:rsid w:val="00BD70FA"/>
    <w:rsid w:val="00BE0C81"/>
    <w:rsid w:val="00BE2C4C"/>
    <w:rsid w:val="00BE326B"/>
    <w:rsid w:val="00BF0988"/>
    <w:rsid w:val="00BF2451"/>
    <w:rsid w:val="00C04E23"/>
    <w:rsid w:val="00C07387"/>
    <w:rsid w:val="00C20D8B"/>
    <w:rsid w:val="00C245F1"/>
    <w:rsid w:val="00C34B38"/>
    <w:rsid w:val="00C35089"/>
    <w:rsid w:val="00C40AC2"/>
    <w:rsid w:val="00C417C6"/>
    <w:rsid w:val="00C434DE"/>
    <w:rsid w:val="00C43E7D"/>
    <w:rsid w:val="00C455FC"/>
    <w:rsid w:val="00C463E5"/>
    <w:rsid w:val="00C514BA"/>
    <w:rsid w:val="00C5246E"/>
    <w:rsid w:val="00C52587"/>
    <w:rsid w:val="00C6014A"/>
    <w:rsid w:val="00C62A50"/>
    <w:rsid w:val="00C63CE7"/>
    <w:rsid w:val="00C801C4"/>
    <w:rsid w:val="00C8276F"/>
    <w:rsid w:val="00CA5D7E"/>
    <w:rsid w:val="00CA6EF3"/>
    <w:rsid w:val="00CB2547"/>
    <w:rsid w:val="00CB337E"/>
    <w:rsid w:val="00CB3500"/>
    <w:rsid w:val="00CB5FA4"/>
    <w:rsid w:val="00CC1924"/>
    <w:rsid w:val="00CC2860"/>
    <w:rsid w:val="00CC4A59"/>
    <w:rsid w:val="00CC4C92"/>
    <w:rsid w:val="00CD5BF6"/>
    <w:rsid w:val="00CD7023"/>
    <w:rsid w:val="00CD7193"/>
    <w:rsid w:val="00CE69E6"/>
    <w:rsid w:val="00CE7394"/>
    <w:rsid w:val="00CF453B"/>
    <w:rsid w:val="00D00351"/>
    <w:rsid w:val="00D0276C"/>
    <w:rsid w:val="00D0375D"/>
    <w:rsid w:val="00D06115"/>
    <w:rsid w:val="00D07919"/>
    <w:rsid w:val="00D10441"/>
    <w:rsid w:val="00D16FBE"/>
    <w:rsid w:val="00D217F6"/>
    <w:rsid w:val="00D34B68"/>
    <w:rsid w:val="00D41160"/>
    <w:rsid w:val="00D50A32"/>
    <w:rsid w:val="00D51A05"/>
    <w:rsid w:val="00D53740"/>
    <w:rsid w:val="00D53D05"/>
    <w:rsid w:val="00D72A04"/>
    <w:rsid w:val="00D83898"/>
    <w:rsid w:val="00D8427C"/>
    <w:rsid w:val="00D91B2B"/>
    <w:rsid w:val="00D97F7C"/>
    <w:rsid w:val="00DA658F"/>
    <w:rsid w:val="00DA716E"/>
    <w:rsid w:val="00DB0099"/>
    <w:rsid w:val="00DB2C51"/>
    <w:rsid w:val="00DB3973"/>
    <w:rsid w:val="00DB5C34"/>
    <w:rsid w:val="00DC11E8"/>
    <w:rsid w:val="00DC6558"/>
    <w:rsid w:val="00DC6999"/>
    <w:rsid w:val="00DD30AB"/>
    <w:rsid w:val="00DD3901"/>
    <w:rsid w:val="00DD57AD"/>
    <w:rsid w:val="00DE484D"/>
    <w:rsid w:val="00DE4B91"/>
    <w:rsid w:val="00DE7E66"/>
    <w:rsid w:val="00DF0F21"/>
    <w:rsid w:val="00DF1ECD"/>
    <w:rsid w:val="00DF748D"/>
    <w:rsid w:val="00E00D24"/>
    <w:rsid w:val="00E01D21"/>
    <w:rsid w:val="00E1046C"/>
    <w:rsid w:val="00E17FF8"/>
    <w:rsid w:val="00E2157A"/>
    <w:rsid w:val="00E3154C"/>
    <w:rsid w:val="00E334CA"/>
    <w:rsid w:val="00E37974"/>
    <w:rsid w:val="00E46A98"/>
    <w:rsid w:val="00E57BFF"/>
    <w:rsid w:val="00E815A9"/>
    <w:rsid w:val="00E90606"/>
    <w:rsid w:val="00E92E45"/>
    <w:rsid w:val="00E9315A"/>
    <w:rsid w:val="00EA7559"/>
    <w:rsid w:val="00EB3A05"/>
    <w:rsid w:val="00EB4587"/>
    <w:rsid w:val="00EB46EC"/>
    <w:rsid w:val="00EB5690"/>
    <w:rsid w:val="00EB67D9"/>
    <w:rsid w:val="00EC0B08"/>
    <w:rsid w:val="00EC26E5"/>
    <w:rsid w:val="00EC2757"/>
    <w:rsid w:val="00EC3ACF"/>
    <w:rsid w:val="00ED012C"/>
    <w:rsid w:val="00ED2844"/>
    <w:rsid w:val="00ED3624"/>
    <w:rsid w:val="00EE1067"/>
    <w:rsid w:val="00EE23A3"/>
    <w:rsid w:val="00EE5A37"/>
    <w:rsid w:val="00EF6153"/>
    <w:rsid w:val="00F149B4"/>
    <w:rsid w:val="00F15D0F"/>
    <w:rsid w:val="00F231A8"/>
    <w:rsid w:val="00F26C0A"/>
    <w:rsid w:val="00F415C1"/>
    <w:rsid w:val="00F54C6E"/>
    <w:rsid w:val="00F550CE"/>
    <w:rsid w:val="00F57357"/>
    <w:rsid w:val="00F57BC3"/>
    <w:rsid w:val="00F61255"/>
    <w:rsid w:val="00F663F1"/>
    <w:rsid w:val="00F71606"/>
    <w:rsid w:val="00F72DB5"/>
    <w:rsid w:val="00F76F63"/>
    <w:rsid w:val="00F772B2"/>
    <w:rsid w:val="00F810DF"/>
    <w:rsid w:val="00F81FAE"/>
    <w:rsid w:val="00F8216F"/>
    <w:rsid w:val="00F83DF9"/>
    <w:rsid w:val="00F841B8"/>
    <w:rsid w:val="00F85568"/>
    <w:rsid w:val="00F855F2"/>
    <w:rsid w:val="00F8612D"/>
    <w:rsid w:val="00F873E5"/>
    <w:rsid w:val="00F87F57"/>
    <w:rsid w:val="00F93D1F"/>
    <w:rsid w:val="00F94AC9"/>
    <w:rsid w:val="00FA28A1"/>
    <w:rsid w:val="00FA58EC"/>
    <w:rsid w:val="00FA69B6"/>
    <w:rsid w:val="00FB732E"/>
    <w:rsid w:val="00FB7615"/>
    <w:rsid w:val="00FC02C3"/>
    <w:rsid w:val="00FC245C"/>
    <w:rsid w:val="00FC79E1"/>
    <w:rsid w:val="00FC7C40"/>
    <w:rsid w:val="00FD06CE"/>
    <w:rsid w:val="00FD174F"/>
    <w:rsid w:val="00FD1825"/>
    <w:rsid w:val="00FD7148"/>
    <w:rsid w:val="00FE28F5"/>
    <w:rsid w:val="00FE6FA4"/>
    <w:rsid w:val="00FF3472"/>
    <w:rsid w:val="00FF5670"/>
    <w:rsid w:val="00FF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0EECCE"/>
  <w15:docId w15:val="{0691DCD4-DE7B-49FA-A6FB-CC8AF42B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D67E8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67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67B2"/>
  </w:style>
  <w:style w:type="paragraph" w:styleId="Pidipagina">
    <w:name w:val="footer"/>
    <w:basedOn w:val="Normale"/>
    <w:link w:val="PidipaginaCarattere"/>
    <w:uiPriority w:val="99"/>
    <w:unhideWhenUsed/>
    <w:rsid w:val="00B067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67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DF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F4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4DF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13523F"/>
    <w:pPr>
      <w:ind w:left="720"/>
      <w:contextualSpacing/>
    </w:pPr>
  </w:style>
  <w:style w:type="paragraph" w:customStyle="1" w:styleId="Default">
    <w:name w:val="Default"/>
    <w:basedOn w:val="Normale"/>
    <w:rsid w:val="0023498B"/>
    <w:pPr>
      <w:autoSpaceDE w:val="0"/>
      <w:autoSpaceDN w:val="0"/>
      <w:spacing w:after="0" w:line="240" w:lineRule="auto"/>
    </w:pPr>
    <w:rPr>
      <w:rFonts w:ascii="Century Gothic" w:hAnsi="Century Gothic" w:cs="Times New Roman"/>
      <w:color w:val="000000"/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1BFD"/>
    <w:rPr>
      <w:vertAlign w:val="superscript"/>
    </w:rPr>
  </w:style>
  <w:style w:type="paragraph" w:styleId="Sottotitolo">
    <w:name w:val="Subtitle"/>
    <w:basedOn w:val="Normale"/>
    <w:link w:val="SottotitoloCarattere"/>
    <w:qFormat/>
    <w:rsid w:val="006439DC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6439DC"/>
    <w:rPr>
      <w:rFonts w:ascii="Times New Roman" w:eastAsia="Times New Roman" w:hAnsi="Times New Roman" w:cs="Times New Roman"/>
      <w:color w:val="FF0000"/>
      <w:sz w:val="24"/>
      <w:szCs w:val="20"/>
      <w:lang w:val="x-none" w:eastAsia="x-none"/>
    </w:rPr>
  </w:style>
  <w:style w:type="character" w:styleId="Collegamentoipertestuale">
    <w:name w:val="Hyperlink"/>
    <w:basedOn w:val="Carpredefinitoparagrafo"/>
    <w:uiPriority w:val="99"/>
    <w:unhideWhenUsed/>
    <w:rsid w:val="00004E16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3D67E8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3035C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35C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35C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7B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7B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DeGennaro@mcc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cc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o.Giostra@mcc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539A3-5F16-4DB1-AD57-AF19A0E6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6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Malagnino Carlo</dc:creator>
  <cp:lastModifiedBy>Giostra Marco</cp:lastModifiedBy>
  <cp:revision>14</cp:revision>
  <cp:lastPrinted>2019-05-20T13:03:00Z</cp:lastPrinted>
  <dcterms:created xsi:type="dcterms:W3CDTF">2019-05-20T08:13:00Z</dcterms:created>
  <dcterms:modified xsi:type="dcterms:W3CDTF">2019-05-20T14:40:00Z</dcterms:modified>
</cp:coreProperties>
</file>