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1FAD7" w14:textId="65E62566" w:rsidR="001B7375" w:rsidRPr="00443E51" w:rsidRDefault="001B7375" w:rsidP="00D0574A">
      <w:pPr>
        <w:pStyle w:val="Intestazione"/>
        <w:pBdr>
          <w:top w:val="single" w:sz="4" w:space="8" w:color="808080"/>
          <w:left w:val="single" w:sz="4" w:space="0" w:color="808080"/>
          <w:bottom w:val="single" w:sz="4" w:space="0" w:color="808080"/>
          <w:right w:val="single" w:sz="4" w:space="4" w:color="808080"/>
        </w:pBdr>
        <w:spacing w:line="360" w:lineRule="auto"/>
        <w:jc w:val="center"/>
        <w:rPr>
          <w:rFonts w:ascii="Calibri" w:hAnsi="Calibri"/>
          <w:b/>
        </w:rPr>
      </w:pPr>
      <w:r w:rsidRPr="00443E51">
        <w:rPr>
          <w:rFonts w:ascii="Calibri" w:hAnsi="Calibri"/>
          <w:b/>
        </w:rPr>
        <w:t>Fondo nazionale</w:t>
      </w:r>
      <w:r w:rsidRPr="00443E51">
        <w:rPr>
          <w:rFonts w:ascii="Calibri" w:hAnsi="Calibri"/>
        </w:rPr>
        <w:t xml:space="preserve"> </w:t>
      </w:r>
      <w:r w:rsidRPr="00443E51">
        <w:rPr>
          <w:rFonts w:ascii="Calibri" w:hAnsi="Calibri"/>
          <w:b/>
        </w:rPr>
        <w:t xml:space="preserve">per l’efficienza energetica </w:t>
      </w:r>
      <w:r>
        <w:rPr>
          <w:rFonts w:ascii="Calibri" w:hAnsi="Calibri"/>
          <w:b/>
        </w:rPr>
        <w:t xml:space="preserve">- </w:t>
      </w:r>
      <w:r w:rsidRPr="00443E51">
        <w:rPr>
          <w:rFonts w:ascii="Calibri" w:hAnsi="Calibri"/>
          <w:b/>
        </w:rPr>
        <w:t>Decreto interministeriale del 22 dicembre 2017</w:t>
      </w:r>
    </w:p>
    <w:p w14:paraId="47D61856" w14:textId="77777777" w:rsidR="001B7375" w:rsidRPr="00443E51" w:rsidRDefault="001B7375" w:rsidP="0081422F">
      <w:pPr>
        <w:spacing w:after="0"/>
        <w:jc w:val="both"/>
        <w:rPr>
          <w:rFonts w:ascii="Calibri" w:hAnsi="Calibri"/>
          <w:b/>
        </w:rPr>
      </w:pPr>
    </w:p>
    <w:p w14:paraId="16CE4F0F" w14:textId="77777777" w:rsidR="00C34329" w:rsidRPr="0081422F" w:rsidRDefault="00C34329" w:rsidP="0081422F">
      <w:pPr>
        <w:autoSpaceDE w:val="0"/>
        <w:autoSpaceDN w:val="0"/>
        <w:adjustRightInd w:val="0"/>
        <w:spacing w:after="0"/>
        <w:jc w:val="both"/>
        <w:rPr>
          <w:rFonts w:cs="TimesNewRomanPS-BoldMT"/>
          <w:b/>
          <w:bCs/>
          <w:color w:val="000000"/>
          <w:szCs w:val="24"/>
        </w:rPr>
      </w:pPr>
      <w:r w:rsidRPr="0081422F">
        <w:rPr>
          <w:rFonts w:cs="TimesNewRomanPS-BoldMT"/>
          <w:b/>
          <w:bCs/>
          <w:color w:val="000000"/>
          <w:szCs w:val="24"/>
        </w:rPr>
        <w:t>Elementi utili alla verifica dell’intensità massima di aiuto</w:t>
      </w:r>
    </w:p>
    <w:p w14:paraId="16B9AF68" w14:textId="77777777" w:rsidR="002215CF" w:rsidRPr="0081422F" w:rsidRDefault="002215CF" w:rsidP="0081422F">
      <w:pPr>
        <w:autoSpaceDE w:val="0"/>
        <w:autoSpaceDN w:val="0"/>
        <w:adjustRightInd w:val="0"/>
        <w:spacing w:after="0"/>
        <w:jc w:val="both"/>
        <w:rPr>
          <w:rFonts w:cs="TimesNewRomanPSMT"/>
          <w:color w:val="000000"/>
          <w:szCs w:val="24"/>
        </w:rPr>
      </w:pPr>
    </w:p>
    <w:p w14:paraId="1C4BB86E" w14:textId="7820233D" w:rsidR="00C34329" w:rsidRPr="0081422F" w:rsidRDefault="00C34329" w:rsidP="0081422F">
      <w:pPr>
        <w:autoSpaceDE w:val="0"/>
        <w:autoSpaceDN w:val="0"/>
        <w:adjustRightInd w:val="0"/>
        <w:spacing w:after="0"/>
        <w:jc w:val="both"/>
        <w:rPr>
          <w:rFonts w:cs="TimesNewRomanPSMT"/>
          <w:color w:val="000000"/>
          <w:szCs w:val="24"/>
        </w:rPr>
      </w:pPr>
      <w:r w:rsidRPr="0081422F">
        <w:rPr>
          <w:rFonts w:cs="TimesNewRomanPSMT"/>
          <w:color w:val="000000"/>
          <w:szCs w:val="24"/>
        </w:rPr>
        <w:t xml:space="preserve">Ai fini della verifica dell’intensità massima di aiuto concedibile, la quantificazione dell’equivalente sovvenzione lordo correlato alla quota di agevolazione concessa sotto forma di finanziamento agevolato viene effettuata secondo quanto previsto dalla Comunicazione della Commissione relativa alla revisione del metodo di fissazione dei tassi di riferimento e di attualizzazione (2008/C 14/02). Tale Comunicazione prevede che il tasso di riferimento sia definito a partire dal tasso base (fissato dalla Commissione europea e pubblicato nel sito internet: </w:t>
      </w:r>
      <w:r w:rsidRPr="0081422F">
        <w:rPr>
          <w:rFonts w:cs="TimesNewRomanPSMT"/>
          <w:color w:val="0563C2"/>
          <w:szCs w:val="24"/>
        </w:rPr>
        <w:t>http://ec.europa.eu/competition/state_aid/legislation/reference_rates.html</w:t>
      </w:r>
      <w:r w:rsidRPr="0081422F">
        <w:rPr>
          <w:rFonts w:cs="TimesNewRomanPSMT"/>
          <w:color w:val="000000"/>
          <w:szCs w:val="24"/>
        </w:rPr>
        <w:t>), aggiungendo un margine, in termini di punti base, stabilito in funzione del rating dell’impresa e delle garanzie offerte, secondo quanto indicato nella tabella riportata nella Comunicazione stessa, come di seguito esposto.</w:t>
      </w:r>
    </w:p>
    <w:p w14:paraId="6D042DB3" w14:textId="77777777" w:rsidR="00C34329" w:rsidRPr="0081422F" w:rsidRDefault="00C34329" w:rsidP="0081422F">
      <w:pPr>
        <w:autoSpaceDE w:val="0"/>
        <w:autoSpaceDN w:val="0"/>
        <w:adjustRightInd w:val="0"/>
        <w:spacing w:after="0"/>
        <w:jc w:val="both"/>
        <w:rPr>
          <w:rFonts w:cs="TimesNewRomanPSMT"/>
          <w:color w:val="000000"/>
          <w:szCs w:val="24"/>
        </w:rPr>
      </w:pPr>
    </w:p>
    <w:p w14:paraId="1FEF0A83" w14:textId="77777777" w:rsidR="00C34329" w:rsidRPr="0081422F" w:rsidRDefault="00C34329" w:rsidP="0081422F">
      <w:pPr>
        <w:autoSpaceDE w:val="0"/>
        <w:autoSpaceDN w:val="0"/>
        <w:adjustRightInd w:val="0"/>
        <w:spacing w:after="0"/>
        <w:jc w:val="both"/>
        <w:rPr>
          <w:rFonts w:cs="TimesNewRomanPS-BoldMT"/>
          <w:b/>
          <w:bCs/>
          <w:color w:val="000000"/>
          <w:szCs w:val="24"/>
        </w:rPr>
      </w:pPr>
      <w:r w:rsidRPr="0081422F">
        <w:rPr>
          <w:rFonts w:cs="TimesNewRomanPS-BoldMT"/>
          <w:b/>
          <w:bCs/>
          <w:color w:val="000000"/>
          <w:szCs w:val="24"/>
        </w:rPr>
        <w:t>Quantificazione del margine da sommare al tasso base</w:t>
      </w:r>
    </w:p>
    <w:p w14:paraId="589D6F32" w14:textId="77777777" w:rsidR="002215CF" w:rsidRPr="0081422F" w:rsidRDefault="002215CF" w:rsidP="0081422F">
      <w:pPr>
        <w:autoSpaceDE w:val="0"/>
        <w:autoSpaceDN w:val="0"/>
        <w:adjustRightInd w:val="0"/>
        <w:spacing w:after="0"/>
        <w:jc w:val="both"/>
        <w:rPr>
          <w:rFonts w:ascii="TimesNewRomanPSMT" w:hAnsi="TimesNewRomanPSMT" w:cs="TimesNewRomanPSMT"/>
          <w:color w:val="000000"/>
          <w:szCs w:val="24"/>
        </w:rPr>
      </w:pPr>
    </w:p>
    <w:p w14:paraId="3073000F" w14:textId="77777777" w:rsidR="00C34329" w:rsidRDefault="00C34329" w:rsidP="0081422F">
      <w:pPr>
        <w:autoSpaceDE w:val="0"/>
        <w:autoSpaceDN w:val="0"/>
        <w:adjustRightInd w:val="0"/>
        <w:spacing w:after="0"/>
        <w:jc w:val="both"/>
        <w:rPr>
          <w:rFonts w:cs="TimesNewRomanPSMT"/>
          <w:color w:val="000000"/>
          <w:szCs w:val="24"/>
          <w:u w:val="single"/>
        </w:rPr>
      </w:pPr>
      <w:r w:rsidRPr="0081422F">
        <w:rPr>
          <w:rFonts w:cs="TimesNewRomanPSMT"/>
          <w:color w:val="000000"/>
          <w:szCs w:val="24"/>
          <w:u w:val="single"/>
        </w:rPr>
        <w:t>Rating dell’impresa</w:t>
      </w:r>
    </w:p>
    <w:p w14:paraId="7C4F5443" w14:textId="77777777" w:rsidR="0081422F" w:rsidRPr="0081422F" w:rsidRDefault="0081422F" w:rsidP="0081422F">
      <w:pPr>
        <w:autoSpaceDE w:val="0"/>
        <w:autoSpaceDN w:val="0"/>
        <w:adjustRightInd w:val="0"/>
        <w:spacing w:after="0"/>
        <w:jc w:val="both"/>
        <w:rPr>
          <w:rFonts w:cs="TimesNewRomanPSMT"/>
          <w:color w:val="000000"/>
          <w:szCs w:val="24"/>
          <w:u w:val="single"/>
        </w:rPr>
      </w:pPr>
    </w:p>
    <w:p w14:paraId="0D9CCEDC" w14:textId="6CB9DC26" w:rsidR="00C34329" w:rsidRPr="0081422F" w:rsidRDefault="00C34329" w:rsidP="0081422F">
      <w:pPr>
        <w:autoSpaceDE w:val="0"/>
        <w:autoSpaceDN w:val="0"/>
        <w:adjustRightInd w:val="0"/>
        <w:spacing w:after="0"/>
        <w:jc w:val="both"/>
        <w:rPr>
          <w:rFonts w:cs="TimesNewRomanPSMT"/>
          <w:color w:val="000000"/>
          <w:szCs w:val="24"/>
        </w:rPr>
      </w:pPr>
      <w:r w:rsidRPr="0081422F">
        <w:rPr>
          <w:rFonts w:cs="TimesNewRomanPSMT"/>
          <w:color w:val="000000"/>
          <w:szCs w:val="24"/>
        </w:rPr>
        <w:t>Il rischio associato alla singola impresa viene definito, in relazione alle seguenti categorie di</w:t>
      </w:r>
      <w:r w:rsidR="005C5255" w:rsidRPr="0081422F">
        <w:rPr>
          <w:rFonts w:cs="TimesNewRomanPSMT"/>
          <w:color w:val="000000"/>
          <w:szCs w:val="24"/>
        </w:rPr>
        <w:t xml:space="preserve"> </w:t>
      </w:r>
      <w:r w:rsidRPr="0081422F">
        <w:rPr>
          <w:rFonts w:cs="TimesNewRomanPSMT"/>
          <w:color w:val="000000"/>
          <w:szCs w:val="24"/>
        </w:rPr>
        <w:t>rating attribuite al soggetto proponente in funzione dei punteggi conseguiti nell’ambito del</w:t>
      </w:r>
      <w:r w:rsidR="005C5255" w:rsidRPr="0081422F">
        <w:rPr>
          <w:rFonts w:cs="TimesNewRomanPSMT"/>
          <w:color w:val="000000"/>
          <w:szCs w:val="24"/>
        </w:rPr>
        <w:t xml:space="preserve"> </w:t>
      </w:r>
      <w:r w:rsidRPr="0081422F">
        <w:rPr>
          <w:rFonts w:cs="TimesNewRomanPSMT"/>
          <w:color w:val="000000"/>
          <w:szCs w:val="24"/>
        </w:rPr>
        <w:t>criterio di valutazione “</w:t>
      </w:r>
      <w:r w:rsidR="005C5255" w:rsidRPr="0081422F">
        <w:rPr>
          <w:rFonts w:cs="TimesNewRomanPSMT"/>
          <w:color w:val="000000"/>
          <w:szCs w:val="24"/>
        </w:rPr>
        <w:t xml:space="preserve">Solidità economico-patrimoniale” </w:t>
      </w:r>
      <w:r w:rsidRPr="0081422F">
        <w:rPr>
          <w:rFonts w:cs="TimesNewRomanPSMT"/>
          <w:color w:val="000000"/>
          <w:szCs w:val="24"/>
        </w:rPr>
        <w:t>di cui all</w:t>
      </w:r>
      <w:r w:rsidR="005C5255" w:rsidRPr="0081422F">
        <w:rPr>
          <w:rFonts w:cs="TimesNewRomanPSMT"/>
          <w:color w:val="000000"/>
          <w:szCs w:val="24"/>
        </w:rPr>
        <w:t>a lettera c) dell</w:t>
      </w:r>
      <w:r w:rsidRPr="0081422F">
        <w:rPr>
          <w:rFonts w:cs="TimesNewRomanPSMT"/>
          <w:color w:val="000000"/>
          <w:szCs w:val="24"/>
        </w:rPr>
        <w:t xml:space="preserve">’allegato </w:t>
      </w:r>
      <w:r w:rsidR="005C5255" w:rsidRPr="0081422F">
        <w:rPr>
          <w:rFonts w:cs="TimesNewRomanPSMT"/>
          <w:color w:val="000000"/>
          <w:szCs w:val="24"/>
        </w:rPr>
        <w:t xml:space="preserve">B1 </w:t>
      </w:r>
      <w:r w:rsidRPr="0081422F">
        <w:rPr>
          <w:rFonts w:cs="TimesNewRomanPSMT"/>
          <w:color w:val="000000"/>
          <w:szCs w:val="24"/>
        </w:rPr>
        <w:t>al</w:t>
      </w:r>
      <w:r w:rsidR="005C5255" w:rsidRPr="0081422F">
        <w:rPr>
          <w:rFonts w:cs="TimesNewRomanPSMT"/>
          <w:color w:val="000000"/>
          <w:szCs w:val="24"/>
        </w:rPr>
        <w:t xml:space="preserve"> </w:t>
      </w:r>
      <w:r w:rsidR="00534C79">
        <w:rPr>
          <w:rFonts w:cs="TimesNewRomanPSMT"/>
          <w:color w:val="000000"/>
          <w:szCs w:val="24"/>
        </w:rPr>
        <w:t>decreto direttoriale</w:t>
      </w:r>
      <w:bookmarkStart w:id="0" w:name="_GoBack"/>
      <w:bookmarkEnd w:id="0"/>
      <w:r w:rsidRPr="0081422F">
        <w:rPr>
          <w:rFonts w:cs="TimesNewRomanPSMT"/>
          <w:color w:val="000000"/>
          <w:szCs w:val="24"/>
        </w:rPr>
        <w:t>, come segue:</w:t>
      </w:r>
    </w:p>
    <w:p w14:paraId="53B88884" w14:textId="6EEF2ECA" w:rsidR="00C34329" w:rsidRPr="0081422F" w:rsidRDefault="00C34329" w:rsidP="0081422F">
      <w:pPr>
        <w:pStyle w:val="Paragrafoelenco"/>
        <w:numPr>
          <w:ilvl w:val="0"/>
          <w:numId w:val="29"/>
        </w:numPr>
        <w:autoSpaceDE w:val="0"/>
        <w:autoSpaceDN w:val="0"/>
        <w:adjustRightInd w:val="0"/>
        <w:spacing w:after="0"/>
        <w:jc w:val="both"/>
        <w:rPr>
          <w:rFonts w:cs="TimesNewRomanPSMT"/>
          <w:color w:val="000000"/>
          <w:szCs w:val="24"/>
        </w:rPr>
      </w:pPr>
      <w:r w:rsidRPr="0081422F">
        <w:rPr>
          <w:rFonts w:cs="TimesNewRomanPSMT"/>
          <w:color w:val="000000"/>
          <w:szCs w:val="24"/>
        </w:rPr>
        <w:t>“</w:t>
      </w:r>
      <w:proofErr w:type="gramStart"/>
      <w:r w:rsidRPr="0081422F">
        <w:rPr>
          <w:rFonts w:cs="TimesNewRomanPSMT"/>
          <w:color w:val="000000"/>
          <w:szCs w:val="24"/>
        </w:rPr>
        <w:t>ottimo</w:t>
      </w:r>
      <w:proofErr w:type="gramEnd"/>
      <w:r w:rsidRPr="0081422F">
        <w:rPr>
          <w:rFonts w:cs="TimesNewRomanPSMT"/>
          <w:color w:val="000000"/>
          <w:szCs w:val="24"/>
        </w:rPr>
        <w:t xml:space="preserve">”, per un punteggio compreso tra </w:t>
      </w:r>
      <w:r w:rsidR="00492655" w:rsidRPr="0081422F">
        <w:rPr>
          <w:rFonts w:cs="TimesNewRomanPSMT"/>
          <w:color w:val="000000"/>
          <w:szCs w:val="24"/>
        </w:rPr>
        <w:t>30</w:t>
      </w:r>
      <w:r w:rsidRPr="0081422F">
        <w:rPr>
          <w:rFonts w:cs="TimesNewRomanPSMT"/>
          <w:color w:val="000000"/>
          <w:szCs w:val="24"/>
        </w:rPr>
        <w:t xml:space="preserve"> e </w:t>
      </w:r>
      <w:r w:rsidR="00492655" w:rsidRPr="0081422F">
        <w:rPr>
          <w:rFonts w:cs="TimesNewRomanPSMT"/>
          <w:color w:val="000000"/>
          <w:szCs w:val="24"/>
        </w:rPr>
        <w:t>2</w:t>
      </w:r>
      <w:r w:rsidRPr="0081422F">
        <w:rPr>
          <w:rFonts w:cs="TimesNewRomanPSMT"/>
          <w:color w:val="000000"/>
          <w:szCs w:val="24"/>
        </w:rPr>
        <w:t>8;</w:t>
      </w:r>
    </w:p>
    <w:p w14:paraId="695A0B70" w14:textId="77D02DB3" w:rsidR="00C34329" w:rsidRPr="0081422F" w:rsidRDefault="00C34329" w:rsidP="0081422F">
      <w:pPr>
        <w:pStyle w:val="Paragrafoelenco"/>
        <w:numPr>
          <w:ilvl w:val="0"/>
          <w:numId w:val="29"/>
        </w:numPr>
        <w:autoSpaceDE w:val="0"/>
        <w:autoSpaceDN w:val="0"/>
        <w:adjustRightInd w:val="0"/>
        <w:spacing w:after="0"/>
        <w:jc w:val="both"/>
        <w:rPr>
          <w:rFonts w:cs="TimesNewRomanPSMT"/>
          <w:color w:val="000000"/>
          <w:szCs w:val="24"/>
        </w:rPr>
      </w:pPr>
      <w:r w:rsidRPr="0081422F">
        <w:rPr>
          <w:rFonts w:cs="TimesNewRomanPSMT"/>
          <w:color w:val="000000"/>
          <w:szCs w:val="24"/>
        </w:rPr>
        <w:t>“</w:t>
      </w:r>
      <w:proofErr w:type="gramStart"/>
      <w:r w:rsidRPr="0081422F">
        <w:rPr>
          <w:rFonts w:cs="TimesNewRomanPSMT"/>
          <w:color w:val="000000"/>
          <w:szCs w:val="24"/>
        </w:rPr>
        <w:t>buono</w:t>
      </w:r>
      <w:proofErr w:type="gramEnd"/>
      <w:r w:rsidRPr="0081422F">
        <w:rPr>
          <w:rFonts w:cs="TimesNewRomanPSMT"/>
          <w:color w:val="000000"/>
          <w:szCs w:val="24"/>
        </w:rPr>
        <w:t xml:space="preserve">”, per un punteggio inferiore a </w:t>
      </w:r>
      <w:r w:rsidR="00492655" w:rsidRPr="0081422F">
        <w:rPr>
          <w:rFonts w:cs="TimesNewRomanPSMT"/>
          <w:color w:val="000000"/>
          <w:szCs w:val="24"/>
        </w:rPr>
        <w:t>28</w:t>
      </w:r>
      <w:r w:rsidRPr="0081422F">
        <w:rPr>
          <w:rFonts w:cs="TimesNewRomanPSMT"/>
          <w:color w:val="000000"/>
          <w:szCs w:val="24"/>
        </w:rPr>
        <w:t xml:space="preserve"> e fino a 2</w:t>
      </w:r>
      <w:r w:rsidR="00492655" w:rsidRPr="0081422F">
        <w:rPr>
          <w:rFonts w:cs="TimesNewRomanPSMT"/>
          <w:color w:val="000000"/>
          <w:szCs w:val="24"/>
        </w:rPr>
        <w:t>4</w:t>
      </w:r>
      <w:r w:rsidRPr="0081422F">
        <w:rPr>
          <w:rFonts w:cs="TimesNewRomanPSMT"/>
          <w:color w:val="000000"/>
          <w:szCs w:val="24"/>
        </w:rPr>
        <w:t>;</w:t>
      </w:r>
    </w:p>
    <w:p w14:paraId="3E75BF93" w14:textId="4CD7CA91" w:rsidR="00C34329" w:rsidRPr="0081422F" w:rsidRDefault="00C34329" w:rsidP="0081422F">
      <w:pPr>
        <w:pStyle w:val="Paragrafoelenco"/>
        <w:numPr>
          <w:ilvl w:val="0"/>
          <w:numId w:val="29"/>
        </w:numPr>
        <w:autoSpaceDE w:val="0"/>
        <w:autoSpaceDN w:val="0"/>
        <w:adjustRightInd w:val="0"/>
        <w:spacing w:after="0"/>
        <w:jc w:val="both"/>
        <w:rPr>
          <w:rFonts w:cs="TimesNewRomanPSMT"/>
          <w:color w:val="000000"/>
          <w:szCs w:val="24"/>
        </w:rPr>
      </w:pPr>
      <w:r w:rsidRPr="0081422F">
        <w:rPr>
          <w:rFonts w:cs="TimesNewRomanPSMT"/>
          <w:color w:val="000000"/>
          <w:szCs w:val="24"/>
        </w:rPr>
        <w:t>“</w:t>
      </w:r>
      <w:proofErr w:type="gramStart"/>
      <w:r w:rsidRPr="0081422F">
        <w:rPr>
          <w:rFonts w:cs="TimesNewRomanPSMT"/>
          <w:color w:val="000000"/>
          <w:szCs w:val="24"/>
        </w:rPr>
        <w:t>soddisfacente</w:t>
      </w:r>
      <w:proofErr w:type="gramEnd"/>
      <w:r w:rsidRPr="0081422F">
        <w:rPr>
          <w:rFonts w:cs="TimesNewRomanPSMT"/>
          <w:color w:val="000000"/>
          <w:szCs w:val="24"/>
        </w:rPr>
        <w:t>”, per un punteggio inferiore a 2</w:t>
      </w:r>
      <w:r w:rsidR="00492655" w:rsidRPr="0081422F">
        <w:rPr>
          <w:rFonts w:cs="TimesNewRomanPSMT"/>
          <w:color w:val="000000"/>
          <w:szCs w:val="24"/>
        </w:rPr>
        <w:t>4</w:t>
      </w:r>
      <w:r w:rsidRPr="0081422F">
        <w:rPr>
          <w:rFonts w:cs="TimesNewRomanPSMT"/>
          <w:color w:val="000000"/>
          <w:szCs w:val="24"/>
        </w:rPr>
        <w:t xml:space="preserve"> e fino a </w:t>
      </w:r>
      <w:r w:rsidR="00492655" w:rsidRPr="0081422F">
        <w:rPr>
          <w:rFonts w:cs="TimesNewRomanPSMT"/>
          <w:color w:val="000000"/>
          <w:szCs w:val="24"/>
        </w:rPr>
        <w:t>20</w:t>
      </w:r>
      <w:r w:rsidRPr="0081422F">
        <w:rPr>
          <w:rFonts w:cs="TimesNewRomanPSMT"/>
          <w:color w:val="000000"/>
          <w:szCs w:val="24"/>
        </w:rPr>
        <w:t>;</w:t>
      </w:r>
    </w:p>
    <w:p w14:paraId="464335DB" w14:textId="3DDBE576" w:rsidR="00C34329" w:rsidRPr="0081422F" w:rsidRDefault="00C34329" w:rsidP="0081422F">
      <w:pPr>
        <w:pStyle w:val="Paragrafoelenco"/>
        <w:numPr>
          <w:ilvl w:val="0"/>
          <w:numId w:val="29"/>
        </w:numPr>
        <w:autoSpaceDE w:val="0"/>
        <w:autoSpaceDN w:val="0"/>
        <w:adjustRightInd w:val="0"/>
        <w:spacing w:after="0"/>
        <w:jc w:val="both"/>
        <w:rPr>
          <w:rFonts w:cs="TimesNewRomanPSMT"/>
          <w:color w:val="000000"/>
          <w:szCs w:val="24"/>
        </w:rPr>
      </w:pPr>
      <w:r w:rsidRPr="0081422F">
        <w:rPr>
          <w:rFonts w:cs="TimesNewRomanPSMT"/>
          <w:color w:val="000000"/>
          <w:szCs w:val="24"/>
        </w:rPr>
        <w:t>“</w:t>
      </w:r>
      <w:proofErr w:type="gramStart"/>
      <w:r w:rsidRPr="0081422F">
        <w:rPr>
          <w:rFonts w:cs="TimesNewRomanPSMT"/>
          <w:color w:val="000000"/>
          <w:szCs w:val="24"/>
        </w:rPr>
        <w:t>scarso</w:t>
      </w:r>
      <w:proofErr w:type="gramEnd"/>
      <w:r w:rsidRPr="0081422F">
        <w:rPr>
          <w:rFonts w:cs="TimesNewRomanPSMT"/>
          <w:color w:val="000000"/>
          <w:szCs w:val="24"/>
        </w:rPr>
        <w:t xml:space="preserve">” per un punteggio inferiore a </w:t>
      </w:r>
      <w:r w:rsidR="00492655" w:rsidRPr="0081422F">
        <w:rPr>
          <w:rFonts w:cs="TimesNewRomanPSMT"/>
          <w:color w:val="000000"/>
          <w:szCs w:val="24"/>
        </w:rPr>
        <w:t>20</w:t>
      </w:r>
      <w:r w:rsidRPr="0081422F">
        <w:rPr>
          <w:rFonts w:cs="TimesNewRomanPSMT"/>
          <w:color w:val="000000"/>
          <w:szCs w:val="24"/>
        </w:rPr>
        <w:t>.</w:t>
      </w:r>
    </w:p>
    <w:p w14:paraId="15797C8D" w14:textId="7D5F4098" w:rsidR="00C34329" w:rsidRPr="0081422F" w:rsidRDefault="00C34329" w:rsidP="0081422F">
      <w:pPr>
        <w:autoSpaceDE w:val="0"/>
        <w:autoSpaceDN w:val="0"/>
        <w:adjustRightInd w:val="0"/>
        <w:spacing w:after="0"/>
        <w:jc w:val="both"/>
        <w:rPr>
          <w:rFonts w:cs="TimesNewRomanPSMT"/>
          <w:color w:val="000000"/>
          <w:szCs w:val="24"/>
        </w:rPr>
      </w:pPr>
      <w:r w:rsidRPr="0081422F">
        <w:rPr>
          <w:rFonts w:cs="TimesNewRomanPSMT"/>
          <w:color w:val="000000"/>
          <w:szCs w:val="24"/>
        </w:rPr>
        <w:t>La categoria “scarso” è riferita ad un punteggio che comporta il mancato superamento della</w:t>
      </w:r>
      <w:r w:rsidR="00492655" w:rsidRPr="0081422F">
        <w:rPr>
          <w:rFonts w:cs="TimesNewRomanPSMT"/>
          <w:color w:val="000000"/>
          <w:szCs w:val="24"/>
        </w:rPr>
        <w:t xml:space="preserve"> </w:t>
      </w:r>
      <w:r w:rsidRPr="0081422F">
        <w:rPr>
          <w:rFonts w:cs="TimesNewRomanPSMT"/>
          <w:color w:val="000000"/>
          <w:szCs w:val="24"/>
        </w:rPr>
        <w:t>soglia minima prevista e, conseguentemente, il rigetto della domanda di agevolazione.</w:t>
      </w:r>
    </w:p>
    <w:p w14:paraId="323B6A48" w14:textId="77777777" w:rsidR="0081422F" w:rsidRPr="0081422F" w:rsidRDefault="0081422F" w:rsidP="0081422F">
      <w:pPr>
        <w:autoSpaceDE w:val="0"/>
        <w:autoSpaceDN w:val="0"/>
        <w:adjustRightInd w:val="0"/>
        <w:spacing w:after="0"/>
        <w:jc w:val="both"/>
        <w:rPr>
          <w:rFonts w:cs="TimesNewRomanPSMT"/>
          <w:color w:val="000000"/>
          <w:szCs w:val="24"/>
          <w:u w:val="single"/>
        </w:rPr>
      </w:pPr>
    </w:p>
    <w:p w14:paraId="70ABD9E1" w14:textId="77777777" w:rsidR="00C34329" w:rsidRDefault="00C34329" w:rsidP="0081422F">
      <w:pPr>
        <w:autoSpaceDE w:val="0"/>
        <w:autoSpaceDN w:val="0"/>
        <w:adjustRightInd w:val="0"/>
        <w:spacing w:after="0"/>
        <w:jc w:val="both"/>
        <w:rPr>
          <w:rFonts w:cs="TimesNewRomanPSMT"/>
          <w:color w:val="000000"/>
          <w:szCs w:val="24"/>
          <w:u w:val="single"/>
        </w:rPr>
      </w:pPr>
      <w:r w:rsidRPr="0081422F">
        <w:rPr>
          <w:rFonts w:cs="TimesNewRomanPSMT"/>
          <w:color w:val="000000"/>
          <w:szCs w:val="24"/>
          <w:u w:val="single"/>
        </w:rPr>
        <w:t>Livello della garanzia</w:t>
      </w:r>
    </w:p>
    <w:p w14:paraId="4B920E9E" w14:textId="77777777" w:rsidR="00F733DC" w:rsidRPr="0081422F" w:rsidRDefault="00F733DC" w:rsidP="0081422F">
      <w:pPr>
        <w:autoSpaceDE w:val="0"/>
        <w:autoSpaceDN w:val="0"/>
        <w:adjustRightInd w:val="0"/>
        <w:spacing w:after="0"/>
        <w:jc w:val="both"/>
        <w:rPr>
          <w:rFonts w:cs="TimesNewRomanPSMT"/>
          <w:color w:val="000000"/>
          <w:szCs w:val="24"/>
          <w:u w:val="single"/>
        </w:rPr>
      </w:pPr>
    </w:p>
    <w:p w14:paraId="75768661" w14:textId="0994A3D8" w:rsidR="00114867" w:rsidRDefault="00C34329" w:rsidP="0081422F">
      <w:pPr>
        <w:autoSpaceDE w:val="0"/>
        <w:autoSpaceDN w:val="0"/>
        <w:adjustRightInd w:val="0"/>
        <w:spacing w:after="0"/>
        <w:jc w:val="both"/>
        <w:rPr>
          <w:rFonts w:cs="TimesNewRomanPSMT"/>
          <w:color w:val="000000"/>
          <w:szCs w:val="24"/>
        </w:rPr>
      </w:pPr>
      <w:r w:rsidRPr="0081422F">
        <w:rPr>
          <w:rFonts w:cs="TimesNewRomanPSMT"/>
          <w:color w:val="000000"/>
          <w:szCs w:val="24"/>
        </w:rPr>
        <w:t>Il livello della garanzia prestata, in termini di perdita in caso di inadempimento (LGD), è</w:t>
      </w:r>
      <w:r w:rsidR="00492655" w:rsidRPr="0081422F">
        <w:rPr>
          <w:rFonts w:cs="TimesNewRomanPSMT"/>
          <w:color w:val="000000"/>
          <w:szCs w:val="24"/>
        </w:rPr>
        <w:t xml:space="preserve"> </w:t>
      </w:r>
      <w:r w:rsidRPr="0081422F">
        <w:rPr>
          <w:rFonts w:cs="TimesNewRomanPSMT"/>
          <w:color w:val="000000"/>
          <w:szCs w:val="24"/>
        </w:rPr>
        <w:t>definito tenendo in considerazione il privilegio di cui all’art. 7, comma 3, del decreto</w:t>
      </w:r>
      <w:r w:rsidR="00492655" w:rsidRPr="0081422F">
        <w:rPr>
          <w:rFonts w:cs="TimesNewRomanPSMT"/>
          <w:color w:val="000000"/>
          <w:szCs w:val="24"/>
        </w:rPr>
        <w:t xml:space="preserve"> </w:t>
      </w:r>
      <w:r w:rsidRPr="0081422F">
        <w:rPr>
          <w:rFonts w:cs="TimesNewRomanPSMT"/>
          <w:color w:val="000000"/>
          <w:szCs w:val="24"/>
        </w:rPr>
        <w:t xml:space="preserve">ministeriale 9 Marzo 2018 e </w:t>
      </w:r>
      <w:proofErr w:type="spellStart"/>
      <w:proofErr w:type="gramStart"/>
      <w:r w:rsidRPr="0081422F">
        <w:rPr>
          <w:rFonts w:cs="TimesNewRomanPSMT"/>
          <w:color w:val="000000"/>
          <w:szCs w:val="24"/>
        </w:rPr>
        <w:t>ss.mm.ii</w:t>
      </w:r>
      <w:proofErr w:type="spellEnd"/>
      <w:r w:rsidRPr="0081422F">
        <w:rPr>
          <w:rFonts w:cs="TimesNewRomanPSMT"/>
          <w:color w:val="000000"/>
          <w:szCs w:val="24"/>
        </w:rPr>
        <w:t>.,</w:t>
      </w:r>
      <w:proofErr w:type="gramEnd"/>
      <w:r w:rsidRPr="0081422F">
        <w:rPr>
          <w:rFonts w:cs="TimesNewRomanPSMT"/>
          <w:color w:val="000000"/>
          <w:szCs w:val="24"/>
        </w:rPr>
        <w:t xml:space="preserve"> secondo quanto previsto dal regolamento (UE) n.</w:t>
      </w:r>
      <w:r w:rsidR="00492655" w:rsidRPr="0081422F">
        <w:rPr>
          <w:rFonts w:cs="TimesNewRomanPSMT"/>
          <w:color w:val="000000"/>
          <w:szCs w:val="24"/>
        </w:rPr>
        <w:t xml:space="preserve"> </w:t>
      </w:r>
      <w:r w:rsidRPr="0081422F">
        <w:rPr>
          <w:rFonts w:cs="TimesNewRomanPSMT"/>
          <w:color w:val="000000"/>
          <w:szCs w:val="24"/>
        </w:rPr>
        <w:t>575/2013 del 26 giugno 2013. In particolare, ai sensi degli articoli 161 e 230 del predetto</w:t>
      </w:r>
      <w:r w:rsidR="00492655" w:rsidRPr="0081422F">
        <w:rPr>
          <w:rFonts w:cs="TimesNewRomanPSMT"/>
          <w:color w:val="000000"/>
          <w:szCs w:val="24"/>
        </w:rPr>
        <w:t xml:space="preserve"> </w:t>
      </w:r>
      <w:r w:rsidRPr="0081422F">
        <w:rPr>
          <w:rFonts w:cs="TimesNewRomanPSMT"/>
          <w:color w:val="000000"/>
          <w:szCs w:val="24"/>
        </w:rPr>
        <w:t xml:space="preserve">regolamento, </w:t>
      </w:r>
      <w:r w:rsidRPr="0081422F">
        <w:rPr>
          <w:rFonts w:cs="TimesNewRomanPSMT"/>
          <w:color w:val="000000"/>
          <w:szCs w:val="24"/>
          <w:u w:val="single"/>
        </w:rPr>
        <w:t>il livello di LGD associabile al finanziamento agevolato in esame comporta,</w:t>
      </w:r>
      <w:r w:rsidR="00492655" w:rsidRPr="0081422F">
        <w:rPr>
          <w:rFonts w:cs="TimesNewRomanPSMT"/>
          <w:color w:val="000000"/>
          <w:szCs w:val="24"/>
          <w:u w:val="single"/>
        </w:rPr>
        <w:t xml:space="preserve"> </w:t>
      </w:r>
      <w:r w:rsidRPr="0081422F">
        <w:rPr>
          <w:rFonts w:cs="TimesNewRomanPSMT"/>
          <w:color w:val="000000"/>
          <w:szCs w:val="24"/>
          <w:u w:val="single"/>
        </w:rPr>
        <w:t>secondo le sopraindicate soglie stabilite dalla Comunicazione della Commissione, un livello di</w:t>
      </w:r>
      <w:r w:rsidR="00492655" w:rsidRPr="0081422F">
        <w:rPr>
          <w:rFonts w:cs="TimesNewRomanPSMT"/>
          <w:color w:val="000000"/>
          <w:szCs w:val="24"/>
          <w:u w:val="single"/>
        </w:rPr>
        <w:t xml:space="preserve"> </w:t>
      </w:r>
      <w:r w:rsidRPr="0081422F">
        <w:rPr>
          <w:rFonts w:cs="TimesNewRomanPSMT"/>
          <w:color w:val="000000"/>
          <w:szCs w:val="24"/>
          <w:u w:val="single"/>
        </w:rPr>
        <w:t>garanzia “normale”</w:t>
      </w:r>
      <w:r w:rsidRPr="0081422F">
        <w:rPr>
          <w:rFonts w:cs="TimesNewRomanPSMT"/>
          <w:color w:val="000000"/>
          <w:szCs w:val="24"/>
        </w:rPr>
        <w:t>.</w:t>
      </w:r>
    </w:p>
    <w:p w14:paraId="04F0CD85" w14:textId="77777777" w:rsidR="0081422F" w:rsidRDefault="0081422F" w:rsidP="0081422F">
      <w:pPr>
        <w:autoSpaceDE w:val="0"/>
        <w:autoSpaceDN w:val="0"/>
        <w:adjustRightInd w:val="0"/>
        <w:spacing w:after="0"/>
        <w:rPr>
          <w:rFonts w:ascii="TimesNewRomanPSMT" w:hAnsi="TimesNewRomanPSMT" w:cs="TimesNewRomanPSMT"/>
          <w:sz w:val="24"/>
          <w:szCs w:val="24"/>
        </w:rPr>
      </w:pPr>
    </w:p>
    <w:p w14:paraId="3E99A920" w14:textId="52696EDD" w:rsidR="0081422F" w:rsidRPr="0081422F" w:rsidRDefault="0081422F" w:rsidP="0081422F">
      <w:pPr>
        <w:autoSpaceDE w:val="0"/>
        <w:autoSpaceDN w:val="0"/>
        <w:adjustRightInd w:val="0"/>
        <w:spacing w:after="0"/>
        <w:jc w:val="both"/>
        <w:rPr>
          <w:rFonts w:cs="TimesNewRomanPSMT"/>
          <w:color w:val="000000"/>
          <w:szCs w:val="24"/>
        </w:rPr>
      </w:pPr>
      <w:r w:rsidRPr="0081422F">
        <w:rPr>
          <w:rFonts w:cs="TimesNewRomanPSMT"/>
          <w:color w:val="000000"/>
          <w:szCs w:val="24"/>
        </w:rPr>
        <w:t>In relazione alle predette categorie di rating ed al livello di garanzia “normale”, si applicano i</w:t>
      </w:r>
      <w:r>
        <w:rPr>
          <w:rFonts w:cs="TimesNewRomanPSMT"/>
          <w:color w:val="000000"/>
          <w:szCs w:val="24"/>
        </w:rPr>
        <w:t xml:space="preserve"> </w:t>
      </w:r>
      <w:r w:rsidRPr="0081422F">
        <w:rPr>
          <w:rFonts w:cs="TimesNewRomanPSMT"/>
          <w:color w:val="000000"/>
          <w:szCs w:val="24"/>
        </w:rPr>
        <w:t>seguenti margini di cui alla Comunicazione della Commissione 2008/C 14/02.</w:t>
      </w:r>
    </w:p>
    <w:p w14:paraId="6B7D9696" w14:textId="77777777" w:rsidR="0081422F" w:rsidRDefault="0081422F" w:rsidP="0081422F">
      <w:pPr>
        <w:autoSpaceDE w:val="0"/>
        <w:autoSpaceDN w:val="0"/>
        <w:adjustRightInd w:val="0"/>
        <w:spacing w:after="0"/>
        <w:jc w:val="both"/>
        <w:rPr>
          <w:rFonts w:cs="TimesNewRomanPSMT"/>
          <w:color w:val="000000"/>
          <w:szCs w:val="24"/>
        </w:rPr>
      </w:pPr>
    </w:p>
    <w:tbl>
      <w:tblPr>
        <w:tblStyle w:val="Grigliatabella"/>
        <w:tblW w:w="0" w:type="auto"/>
        <w:jc w:val="center"/>
        <w:tblLook w:val="04A0" w:firstRow="1" w:lastRow="0" w:firstColumn="1" w:lastColumn="0" w:noHBand="0" w:noVBand="1"/>
      </w:tblPr>
      <w:tblGrid>
        <w:gridCol w:w="2270"/>
        <w:gridCol w:w="2233"/>
      </w:tblGrid>
      <w:tr w:rsidR="0081422F" w:rsidRPr="0081422F" w14:paraId="6D023C0B" w14:textId="77777777" w:rsidTr="00F733DC">
        <w:trPr>
          <w:trHeight w:val="283"/>
          <w:jc w:val="center"/>
        </w:trPr>
        <w:tc>
          <w:tcPr>
            <w:tcW w:w="2270" w:type="dxa"/>
            <w:vAlign w:val="center"/>
          </w:tcPr>
          <w:p w14:paraId="28457E77" w14:textId="77777777" w:rsidR="0081422F" w:rsidRPr="0081422F" w:rsidRDefault="0081422F" w:rsidP="0081422F">
            <w:pPr>
              <w:autoSpaceDE w:val="0"/>
              <w:autoSpaceDN w:val="0"/>
              <w:adjustRightInd w:val="0"/>
              <w:jc w:val="center"/>
              <w:rPr>
                <w:rFonts w:cs="TimesNewRomanPSMT"/>
                <w:color w:val="000000"/>
                <w:szCs w:val="24"/>
              </w:rPr>
            </w:pPr>
          </w:p>
        </w:tc>
        <w:tc>
          <w:tcPr>
            <w:tcW w:w="2233" w:type="dxa"/>
            <w:vAlign w:val="center"/>
          </w:tcPr>
          <w:p w14:paraId="0D11554E" w14:textId="491ADFB5" w:rsidR="0081422F" w:rsidRPr="0081422F" w:rsidRDefault="0081422F" w:rsidP="0081422F">
            <w:pPr>
              <w:autoSpaceDE w:val="0"/>
              <w:autoSpaceDN w:val="0"/>
              <w:adjustRightInd w:val="0"/>
              <w:jc w:val="center"/>
              <w:rPr>
                <w:rFonts w:cs="TimesNewRomanPSMT"/>
                <w:color w:val="000000"/>
                <w:szCs w:val="24"/>
              </w:rPr>
            </w:pPr>
            <w:r w:rsidRPr="0081422F">
              <w:rPr>
                <w:rFonts w:cs="TimesNewRomanPS-BoldMT"/>
                <w:b/>
                <w:bCs/>
              </w:rPr>
              <w:t>Livello di garanzia</w:t>
            </w:r>
          </w:p>
        </w:tc>
      </w:tr>
      <w:tr w:rsidR="0081422F" w:rsidRPr="0081422F" w14:paraId="328D4BD0" w14:textId="77777777" w:rsidTr="00F733DC">
        <w:trPr>
          <w:trHeight w:val="283"/>
          <w:jc w:val="center"/>
        </w:trPr>
        <w:tc>
          <w:tcPr>
            <w:tcW w:w="2270" w:type="dxa"/>
            <w:vAlign w:val="center"/>
          </w:tcPr>
          <w:p w14:paraId="09C6605E" w14:textId="77777777" w:rsidR="0081422F" w:rsidRPr="0081422F" w:rsidRDefault="0081422F" w:rsidP="0081422F">
            <w:pPr>
              <w:autoSpaceDE w:val="0"/>
              <w:autoSpaceDN w:val="0"/>
              <w:adjustRightInd w:val="0"/>
              <w:jc w:val="center"/>
              <w:rPr>
                <w:rFonts w:cs="TimesNewRomanPSMT"/>
                <w:color w:val="000000"/>
                <w:szCs w:val="24"/>
              </w:rPr>
            </w:pPr>
          </w:p>
        </w:tc>
        <w:tc>
          <w:tcPr>
            <w:tcW w:w="2233" w:type="dxa"/>
            <w:vAlign w:val="center"/>
          </w:tcPr>
          <w:p w14:paraId="1A6BBF0E" w14:textId="430D7CF7" w:rsidR="0081422F" w:rsidRPr="0081422F" w:rsidRDefault="0081422F" w:rsidP="0081422F">
            <w:pPr>
              <w:autoSpaceDE w:val="0"/>
              <w:autoSpaceDN w:val="0"/>
              <w:adjustRightInd w:val="0"/>
              <w:jc w:val="center"/>
              <w:rPr>
                <w:rFonts w:cs="TimesNewRomanPSMT"/>
                <w:color w:val="000000"/>
                <w:szCs w:val="24"/>
              </w:rPr>
            </w:pPr>
            <w:r w:rsidRPr="0081422F">
              <w:rPr>
                <w:rFonts w:cs="TimesNewRomanPSMT"/>
              </w:rPr>
              <w:t>Normale</w:t>
            </w:r>
          </w:p>
        </w:tc>
      </w:tr>
      <w:tr w:rsidR="0081422F" w:rsidRPr="0081422F" w14:paraId="6F29C601" w14:textId="77777777" w:rsidTr="00F733DC">
        <w:trPr>
          <w:trHeight w:val="283"/>
          <w:jc w:val="center"/>
        </w:trPr>
        <w:tc>
          <w:tcPr>
            <w:tcW w:w="2270" w:type="dxa"/>
            <w:vAlign w:val="center"/>
          </w:tcPr>
          <w:p w14:paraId="71A2283A" w14:textId="001FF50C" w:rsidR="0081422F" w:rsidRPr="0081422F" w:rsidRDefault="0081422F" w:rsidP="0081422F">
            <w:pPr>
              <w:autoSpaceDE w:val="0"/>
              <w:autoSpaceDN w:val="0"/>
              <w:adjustRightInd w:val="0"/>
              <w:jc w:val="center"/>
              <w:rPr>
                <w:rFonts w:cs="TimesNewRomanPSMT"/>
                <w:color w:val="000000"/>
                <w:szCs w:val="24"/>
              </w:rPr>
            </w:pPr>
            <w:r w:rsidRPr="0081422F">
              <w:rPr>
                <w:rFonts w:cs="TimesNewRomanPS-BoldMT"/>
                <w:b/>
                <w:bCs/>
              </w:rPr>
              <w:t>Categoria di rating</w:t>
            </w:r>
          </w:p>
        </w:tc>
        <w:tc>
          <w:tcPr>
            <w:tcW w:w="2233" w:type="dxa"/>
            <w:vAlign w:val="center"/>
          </w:tcPr>
          <w:p w14:paraId="74EE25B7" w14:textId="77777777" w:rsidR="0081422F" w:rsidRPr="0081422F" w:rsidRDefault="0081422F" w:rsidP="0081422F">
            <w:pPr>
              <w:autoSpaceDE w:val="0"/>
              <w:autoSpaceDN w:val="0"/>
              <w:adjustRightInd w:val="0"/>
              <w:jc w:val="center"/>
              <w:rPr>
                <w:rFonts w:cs="TimesNewRomanPSMT"/>
                <w:color w:val="000000"/>
                <w:szCs w:val="24"/>
              </w:rPr>
            </w:pPr>
          </w:p>
        </w:tc>
      </w:tr>
      <w:tr w:rsidR="0081422F" w:rsidRPr="0081422F" w14:paraId="7E8291B4" w14:textId="77777777" w:rsidTr="00F733DC">
        <w:trPr>
          <w:trHeight w:val="283"/>
          <w:jc w:val="center"/>
        </w:trPr>
        <w:tc>
          <w:tcPr>
            <w:tcW w:w="2270" w:type="dxa"/>
            <w:vAlign w:val="center"/>
          </w:tcPr>
          <w:p w14:paraId="309DFD30" w14:textId="1AC21192" w:rsidR="0081422F" w:rsidRPr="0081422F" w:rsidRDefault="0081422F" w:rsidP="0081422F">
            <w:pPr>
              <w:autoSpaceDE w:val="0"/>
              <w:autoSpaceDN w:val="0"/>
              <w:adjustRightInd w:val="0"/>
              <w:jc w:val="center"/>
              <w:rPr>
                <w:rFonts w:cs="TimesNewRomanPSMT"/>
                <w:color w:val="000000"/>
                <w:szCs w:val="24"/>
              </w:rPr>
            </w:pPr>
            <w:r w:rsidRPr="0081422F">
              <w:rPr>
                <w:rFonts w:cs="TimesNewRomanPSMT"/>
              </w:rPr>
              <w:t>Ottimo</w:t>
            </w:r>
          </w:p>
        </w:tc>
        <w:tc>
          <w:tcPr>
            <w:tcW w:w="2233" w:type="dxa"/>
            <w:vAlign w:val="center"/>
          </w:tcPr>
          <w:p w14:paraId="3806F8C6" w14:textId="2E68738A" w:rsidR="0081422F" w:rsidRPr="0081422F" w:rsidRDefault="0081422F" w:rsidP="0081422F">
            <w:pPr>
              <w:autoSpaceDE w:val="0"/>
              <w:autoSpaceDN w:val="0"/>
              <w:adjustRightInd w:val="0"/>
              <w:jc w:val="center"/>
              <w:rPr>
                <w:rFonts w:cs="TimesNewRomanPSMT"/>
                <w:color w:val="000000"/>
                <w:szCs w:val="24"/>
              </w:rPr>
            </w:pPr>
            <w:r w:rsidRPr="0081422F">
              <w:rPr>
                <w:rFonts w:cs="TimesNewRomanPSMT"/>
                <w:color w:val="000000"/>
                <w:szCs w:val="24"/>
              </w:rPr>
              <w:t>75</w:t>
            </w:r>
          </w:p>
        </w:tc>
      </w:tr>
      <w:tr w:rsidR="0081422F" w:rsidRPr="0081422F" w14:paraId="0C5FA7C0" w14:textId="77777777" w:rsidTr="00F733DC">
        <w:trPr>
          <w:trHeight w:val="283"/>
          <w:jc w:val="center"/>
        </w:trPr>
        <w:tc>
          <w:tcPr>
            <w:tcW w:w="2270" w:type="dxa"/>
            <w:vAlign w:val="center"/>
          </w:tcPr>
          <w:p w14:paraId="721C950F" w14:textId="519FF2DC" w:rsidR="0081422F" w:rsidRPr="0081422F" w:rsidRDefault="0081422F" w:rsidP="0081422F">
            <w:pPr>
              <w:autoSpaceDE w:val="0"/>
              <w:autoSpaceDN w:val="0"/>
              <w:adjustRightInd w:val="0"/>
              <w:jc w:val="center"/>
              <w:rPr>
                <w:rFonts w:cs="TimesNewRomanPSMT"/>
                <w:color w:val="000000"/>
                <w:szCs w:val="24"/>
              </w:rPr>
            </w:pPr>
            <w:r w:rsidRPr="0081422F">
              <w:rPr>
                <w:rFonts w:cs="TimesNewRomanPSMT"/>
              </w:rPr>
              <w:t>Buono</w:t>
            </w:r>
          </w:p>
        </w:tc>
        <w:tc>
          <w:tcPr>
            <w:tcW w:w="2233" w:type="dxa"/>
            <w:vAlign w:val="center"/>
          </w:tcPr>
          <w:p w14:paraId="4D8F453A" w14:textId="78253D49" w:rsidR="0081422F" w:rsidRPr="0081422F" w:rsidRDefault="0081422F" w:rsidP="0081422F">
            <w:pPr>
              <w:autoSpaceDE w:val="0"/>
              <w:autoSpaceDN w:val="0"/>
              <w:adjustRightInd w:val="0"/>
              <w:jc w:val="center"/>
              <w:rPr>
                <w:rFonts w:cs="TimesNewRomanPSMT"/>
                <w:color w:val="000000"/>
                <w:szCs w:val="24"/>
              </w:rPr>
            </w:pPr>
            <w:r w:rsidRPr="0081422F">
              <w:rPr>
                <w:rFonts w:cs="TimesNewRomanPSMT"/>
                <w:color w:val="000000"/>
                <w:szCs w:val="24"/>
              </w:rPr>
              <w:t>100</w:t>
            </w:r>
          </w:p>
        </w:tc>
      </w:tr>
      <w:tr w:rsidR="0081422F" w:rsidRPr="0081422F" w14:paraId="3BFDCF30" w14:textId="77777777" w:rsidTr="00F733DC">
        <w:trPr>
          <w:trHeight w:val="283"/>
          <w:jc w:val="center"/>
        </w:trPr>
        <w:tc>
          <w:tcPr>
            <w:tcW w:w="2270" w:type="dxa"/>
            <w:vAlign w:val="center"/>
          </w:tcPr>
          <w:p w14:paraId="4CB336E2" w14:textId="47DE18C1" w:rsidR="0081422F" w:rsidRPr="0081422F" w:rsidRDefault="0081422F" w:rsidP="0081422F">
            <w:pPr>
              <w:autoSpaceDE w:val="0"/>
              <w:autoSpaceDN w:val="0"/>
              <w:adjustRightInd w:val="0"/>
              <w:jc w:val="center"/>
              <w:rPr>
                <w:rFonts w:cs="TimesNewRomanPSMT"/>
                <w:color w:val="000000"/>
                <w:szCs w:val="24"/>
              </w:rPr>
            </w:pPr>
            <w:r w:rsidRPr="0081422F">
              <w:rPr>
                <w:rFonts w:cs="TimesNewRomanPSMT"/>
              </w:rPr>
              <w:t>Soddisfacente</w:t>
            </w:r>
          </w:p>
        </w:tc>
        <w:tc>
          <w:tcPr>
            <w:tcW w:w="2233" w:type="dxa"/>
            <w:vAlign w:val="center"/>
          </w:tcPr>
          <w:p w14:paraId="124D568B" w14:textId="47AD16A6" w:rsidR="0081422F" w:rsidRPr="0081422F" w:rsidRDefault="0081422F" w:rsidP="0081422F">
            <w:pPr>
              <w:autoSpaceDE w:val="0"/>
              <w:autoSpaceDN w:val="0"/>
              <w:adjustRightInd w:val="0"/>
              <w:jc w:val="center"/>
              <w:rPr>
                <w:rFonts w:cs="TimesNewRomanPSMT"/>
                <w:color w:val="000000"/>
                <w:szCs w:val="24"/>
              </w:rPr>
            </w:pPr>
            <w:r w:rsidRPr="0081422F">
              <w:rPr>
                <w:rFonts w:cs="TimesNewRomanPSMT"/>
                <w:color w:val="000000"/>
                <w:szCs w:val="24"/>
              </w:rPr>
              <w:t>220</w:t>
            </w:r>
          </w:p>
        </w:tc>
      </w:tr>
    </w:tbl>
    <w:p w14:paraId="34623B31" w14:textId="77777777" w:rsidR="0081422F" w:rsidRDefault="0081422F" w:rsidP="00F733DC">
      <w:pPr>
        <w:autoSpaceDE w:val="0"/>
        <w:autoSpaceDN w:val="0"/>
        <w:adjustRightInd w:val="0"/>
        <w:spacing w:after="0"/>
        <w:jc w:val="both"/>
        <w:rPr>
          <w:rFonts w:cs="TimesNewRomanPSMT"/>
          <w:color w:val="000000"/>
          <w:szCs w:val="24"/>
        </w:rPr>
      </w:pPr>
    </w:p>
    <w:sectPr w:rsidR="0081422F" w:rsidSect="00492655">
      <w:headerReference w:type="default" r:id="rId8"/>
      <w:footerReference w:type="default" r:id="rId9"/>
      <w:pgSz w:w="11906" w:h="16838"/>
      <w:pgMar w:top="1276" w:right="113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6BAFF" w14:textId="77777777" w:rsidR="00C846EC" w:rsidRDefault="00C846EC" w:rsidP="00813A13">
      <w:pPr>
        <w:spacing w:after="0" w:line="240" w:lineRule="auto"/>
      </w:pPr>
      <w:r>
        <w:separator/>
      </w:r>
    </w:p>
  </w:endnote>
  <w:endnote w:type="continuationSeparator" w:id="0">
    <w:p w14:paraId="0EE47EDC" w14:textId="77777777" w:rsidR="00C846EC" w:rsidRDefault="00C846EC" w:rsidP="00813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FAD47" w14:textId="0C52A21B" w:rsidR="00844244" w:rsidRDefault="00844244">
    <w:pPr>
      <w:pStyle w:val="Pidipa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16C68" w14:textId="77777777" w:rsidR="00C846EC" w:rsidRDefault="00C846EC" w:rsidP="00813A13">
      <w:pPr>
        <w:spacing w:after="0" w:line="240" w:lineRule="auto"/>
      </w:pPr>
      <w:r>
        <w:separator/>
      </w:r>
    </w:p>
  </w:footnote>
  <w:footnote w:type="continuationSeparator" w:id="0">
    <w:p w14:paraId="5CCB0EFB" w14:textId="77777777" w:rsidR="00C846EC" w:rsidRDefault="00C846EC" w:rsidP="00813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1071" w14:textId="7987D71A" w:rsidR="00DF1DA3" w:rsidRDefault="00DF1DA3">
    <w:pPr>
      <w:pStyle w:val="Intestazione"/>
    </w:pPr>
    <w:r>
      <w:ptab w:relativeTo="margin" w:alignment="center" w:leader="none"/>
    </w:r>
    <w:r>
      <w:ptab w:relativeTo="margin" w:alignment="right" w:leader="none"/>
    </w:r>
    <w:r>
      <w:t xml:space="preserve">Allegato </w:t>
    </w:r>
    <w:r w:rsidR="00C34329">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143"/>
    <w:multiLevelType w:val="hybridMultilevel"/>
    <w:tmpl w:val="85E4FB56"/>
    <w:lvl w:ilvl="0" w:tplc="0A14171A">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6D3C30"/>
    <w:multiLevelType w:val="hybridMultilevel"/>
    <w:tmpl w:val="9BF46FB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50C6700"/>
    <w:multiLevelType w:val="hybridMultilevel"/>
    <w:tmpl w:val="74C655DE"/>
    <w:lvl w:ilvl="0" w:tplc="0A14171A">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63F7C03"/>
    <w:multiLevelType w:val="hybridMultilevel"/>
    <w:tmpl w:val="A1F8499C"/>
    <w:lvl w:ilvl="0" w:tplc="0A14171A">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F81C80"/>
    <w:multiLevelType w:val="hybridMultilevel"/>
    <w:tmpl w:val="23B4FF46"/>
    <w:lvl w:ilvl="0" w:tplc="0409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D057D8"/>
    <w:multiLevelType w:val="hybridMultilevel"/>
    <w:tmpl w:val="765667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4B54713"/>
    <w:multiLevelType w:val="hybridMultilevel"/>
    <w:tmpl w:val="B9FC8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616364"/>
    <w:multiLevelType w:val="hybridMultilevel"/>
    <w:tmpl w:val="7AF2F5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7A31A87"/>
    <w:multiLevelType w:val="hybridMultilevel"/>
    <w:tmpl w:val="A9DCF1A0"/>
    <w:lvl w:ilvl="0" w:tplc="0A14171A">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3A64BD"/>
    <w:multiLevelType w:val="hybridMultilevel"/>
    <w:tmpl w:val="F61C4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E0FF0"/>
    <w:multiLevelType w:val="hybridMultilevel"/>
    <w:tmpl w:val="C9EE232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D8B308D"/>
    <w:multiLevelType w:val="hybridMultilevel"/>
    <w:tmpl w:val="A10A9B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2A56470"/>
    <w:multiLevelType w:val="hybridMultilevel"/>
    <w:tmpl w:val="E85E0B78"/>
    <w:lvl w:ilvl="0" w:tplc="0A14171A">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0F6B58"/>
    <w:multiLevelType w:val="hybridMultilevel"/>
    <w:tmpl w:val="CE86992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431D6744"/>
    <w:multiLevelType w:val="hybridMultilevel"/>
    <w:tmpl w:val="755CA98C"/>
    <w:lvl w:ilvl="0" w:tplc="65AA9A1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703A8"/>
    <w:multiLevelType w:val="hybridMultilevel"/>
    <w:tmpl w:val="E0F265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033046E"/>
    <w:multiLevelType w:val="hybridMultilevel"/>
    <w:tmpl w:val="089827B2"/>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955DE8"/>
    <w:multiLevelType w:val="hybridMultilevel"/>
    <w:tmpl w:val="92E25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E37BB4"/>
    <w:multiLevelType w:val="hybridMultilevel"/>
    <w:tmpl w:val="E5708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F91ECC"/>
    <w:multiLevelType w:val="hybridMultilevel"/>
    <w:tmpl w:val="53E4B548"/>
    <w:lvl w:ilvl="0" w:tplc="0A14171A">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15E0ECB"/>
    <w:multiLevelType w:val="hybridMultilevel"/>
    <w:tmpl w:val="6EBA5F1C"/>
    <w:lvl w:ilvl="0" w:tplc="0A14171A">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818231A"/>
    <w:multiLevelType w:val="hybridMultilevel"/>
    <w:tmpl w:val="40427DAC"/>
    <w:lvl w:ilvl="0" w:tplc="9F504C1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E26641"/>
    <w:multiLevelType w:val="hybridMultilevel"/>
    <w:tmpl w:val="51AA7A38"/>
    <w:lvl w:ilvl="0" w:tplc="13D29C94">
      <w:numFmt w:val="bullet"/>
      <w:lvlText w:val=""/>
      <w:lvlJc w:val="left"/>
      <w:pPr>
        <w:ind w:left="720" w:hanging="360"/>
      </w:pPr>
      <w:rPr>
        <w:rFonts w:ascii="Calibri" w:eastAsiaTheme="minorHAnsi" w:hAnsi="Calibri"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A66385"/>
    <w:multiLevelType w:val="hybridMultilevel"/>
    <w:tmpl w:val="4A9254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6BDF1A3B"/>
    <w:multiLevelType w:val="hybridMultilevel"/>
    <w:tmpl w:val="1A3E2EE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92134D"/>
    <w:multiLevelType w:val="hybridMultilevel"/>
    <w:tmpl w:val="5B785E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20B7007"/>
    <w:multiLevelType w:val="hybridMultilevel"/>
    <w:tmpl w:val="3BF2204E"/>
    <w:lvl w:ilvl="0" w:tplc="0A14171A">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AB158F"/>
    <w:multiLevelType w:val="hybridMultilevel"/>
    <w:tmpl w:val="946C767E"/>
    <w:lvl w:ilvl="0" w:tplc="0A14171A">
      <w:start w:val="1"/>
      <w:numFmt w:val="bullet"/>
      <w:lvlText w:val=""/>
      <w:lvlJc w:val="left"/>
      <w:pPr>
        <w:ind w:left="360" w:hanging="360"/>
      </w:pPr>
      <w:rPr>
        <w:rFonts w:ascii="Symbol" w:hAnsi="Symbol"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7D596A"/>
    <w:multiLevelType w:val="hybridMultilevel"/>
    <w:tmpl w:val="057E2D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9"/>
  </w:num>
  <w:num w:numId="4">
    <w:abstractNumId w:val="8"/>
  </w:num>
  <w:num w:numId="5">
    <w:abstractNumId w:val="3"/>
  </w:num>
  <w:num w:numId="6">
    <w:abstractNumId w:val="2"/>
  </w:num>
  <w:num w:numId="7">
    <w:abstractNumId w:val="26"/>
  </w:num>
  <w:num w:numId="8">
    <w:abstractNumId w:val="0"/>
  </w:num>
  <w:num w:numId="9">
    <w:abstractNumId w:val="12"/>
  </w:num>
  <w:num w:numId="10">
    <w:abstractNumId w:val="25"/>
  </w:num>
  <w:num w:numId="11">
    <w:abstractNumId w:val="7"/>
  </w:num>
  <w:num w:numId="12">
    <w:abstractNumId w:val="23"/>
  </w:num>
  <w:num w:numId="13">
    <w:abstractNumId w:val="5"/>
  </w:num>
  <w:num w:numId="14">
    <w:abstractNumId w:val="15"/>
  </w:num>
  <w:num w:numId="15">
    <w:abstractNumId w:val="17"/>
  </w:num>
  <w:num w:numId="16">
    <w:abstractNumId w:val="11"/>
  </w:num>
  <w:num w:numId="17">
    <w:abstractNumId w:val="18"/>
  </w:num>
  <w:num w:numId="18">
    <w:abstractNumId w:val="1"/>
  </w:num>
  <w:num w:numId="19">
    <w:abstractNumId w:val="28"/>
  </w:num>
  <w:num w:numId="20">
    <w:abstractNumId w:val="21"/>
  </w:num>
  <w:num w:numId="21">
    <w:abstractNumId w:val="13"/>
  </w:num>
  <w:num w:numId="22">
    <w:abstractNumId w:val="24"/>
  </w:num>
  <w:num w:numId="23">
    <w:abstractNumId w:val="10"/>
  </w:num>
  <w:num w:numId="24">
    <w:abstractNumId w:val="14"/>
  </w:num>
  <w:num w:numId="25">
    <w:abstractNumId w:val="16"/>
  </w:num>
  <w:num w:numId="26">
    <w:abstractNumId w:val="9"/>
  </w:num>
  <w:num w:numId="27">
    <w:abstractNumId w:val="22"/>
  </w:num>
  <w:num w:numId="28">
    <w:abstractNumId w:val="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B2"/>
    <w:rsid w:val="00027014"/>
    <w:rsid w:val="00033FDB"/>
    <w:rsid w:val="000353C6"/>
    <w:rsid w:val="00046C63"/>
    <w:rsid w:val="00072824"/>
    <w:rsid w:val="00091332"/>
    <w:rsid w:val="00091AE3"/>
    <w:rsid w:val="00092BDB"/>
    <w:rsid w:val="00095C6B"/>
    <w:rsid w:val="000979DA"/>
    <w:rsid w:val="000C185B"/>
    <w:rsid w:val="000D060B"/>
    <w:rsid w:val="000D6E24"/>
    <w:rsid w:val="0010178E"/>
    <w:rsid w:val="00103347"/>
    <w:rsid w:val="00114867"/>
    <w:rsid w:val="001163FC"/>
    <w:rsid w:val="001263AB"/>
    <w:rsid w:val="00127EFF"/>
    <w:rsid w:val="00131346"/>
    <w:rsid w:val="00151AF0"/>
    <w:rsid w:val="00154BFF"/>
    <w:rsid w:val="001B0FA4"/>
    <w:rsid w:val="001B2F77"/>
    <w:rsid w:val="001B7375"/>
    <w:rsid w:val="001D258B"/>
    <w:rsid w:val="001E5C58"/>
    <w:rsid w:val="0020302A"/>
    <w:rsid w:val="00216A6A"/>
    <w:rsid w:val="00220D01"/>
    <w:rsid w:val="00220DC3"/>
    <w:rsid w:val="002215CF"/>
    <w:rsid w:val="00222D7E"/>
    <w:rsid w:val="00224C93"/>
    <w:rsid w:val="00241A3C"/>
    <w:rsid w:val="00252144"/>
    <w:rsid w:val="00254319"/>
    <w:rsid w:val="002610F3"/>
    <w:rsid w:val="00273F5D"/>
    <w:rsid w:val="002A2B62"/>
    <w:rsid w:val="002A2D32"/>
    <w:rsid w:val="002B43A8"/>
    <w:rsid w:val="002C1FC0"/>
    <w:rsid w:val="002C3058"/>
    <w:rsid w:val="002C5349"/>
    <w:rsid w:val="00301D8F"/>
    <w:rsid w:val="0031291E"/>
    <w:rsid w:val="00317A09"/>
    <w:rsid w:val="003419CD"/>
    <w:rsid w:val="003469C9"/>
    <w:rsid w:val="0035654B"/>
    <w:rsid w:val="0037091D"/>
    <w:rsid w:val="00390E44"/>
    <w:rsid w:val="003936D1"/>
    <w:rsid w:val="003A494A"/>
    <w:rsid w:val="003A621D"/>
    <w:rsid w:val="003D340F"/>
    <w:rsid w:val="0040435C"/>
    <w:rsid w:val="00413C1A"/>
    <w:rsid w:val="00416D0F"/>
    <w:rsid w:val="0042688F"/>
    <w:rsid w:val="00435989"/>
    <w:rsid w:val="004470DA"/>
    <w:rsid w:val="004706FD"/>
    <w:rsid w:val="00471DBB"/>
    <w:rsid w:val="00472DA7"/>
    <w:rsid w:val="00492655"/>
    <w:rsid w:val="004A58BD"/>
    <w:rsid w:val="004B30E5"/>
    <w:rsid w:val="004C3B67"/>
    <w:rsid w:val="004D5278"/>
    <w:rsid w:val="004E598B"/>
    <w:rsid w:val="004E7FF4"/>
    <w:rsid w:val="004F5DDB"/>
    <w:rsid w:val="00534C79"/>
    <w:rsid w:val="00553AFA"/>
    <w:rsid w:val="005611AE"/>
    <w:rsid w:val="005737F8"/>
    <w:rsid w:val="00576CFF"/>
    <w:rsid w:val="00585F84"/>
    <w:rsid w:val="00592AA6"/>
    <w:rsid w:val="00593BD1"/>
    <w:rsid w:val="00593ECF"/>
    <w:rsid w:val="005B1CE5"/>
    <w:rsid w:val="005B57DD"/>
    <w:rsid w:val="005C5255"/>
    <w:rsid w:val="005C7F84"/>
    <w:rsid w:val="005D49AE"/>
    <w:rsid w:val="005D6747"/>
    <w:rsid w:val="005D6773"/>
    <w:rsid w:val="005F4D13"/>
    <w:rsid w:val="005F58AF"/>
    <w:rsid w:val="0060009F"/>
    <w:rsid w:val="006019C0"/>
    <w:rsid w:val="00603A7E"/>
    <w:rsid w:val="00604C05"/>
    <w:rsid w:val="00612FDA"/>
    <w:rsid w:val="00624CB8"/>
    <w:rsid w:val="006362C3"/>
    <w:rsid w:val="006431A8"/>
    <w:rsid w:val="0064356A"/>
    <w:rsid w:val="00652CDE"/>
    <w:rsid w:val="00655756"/>
    <w:rsid w:val="0068443E"/>
    <w:rsid w:val="00694409"/>
    <w:rsid w:val="00696FC9"/>
    <w:rsid w:val="006A19F4"/>
    <w:rsid w:val="006B4C53"/>
    <w:rsid w:val="006C5B77"/>
    <w:rsid w:val="006D49DD"/>
    <w:rsid w:val="006E1631"/>
    <w:rsid w:val="00700719"/>
    <w:rsid w:val="00725C2E"/>
    <w:rsid w:val="007316A0"/>
    <w:rsid w:val="00760CF0"/>
    <w:rsid w:val="00770264"/>
    <w:rsid w:val="00780ECF"/>
    <w:rsid w:val="00794EA1"/>
    <w:rsid w:val="007A764E"/>
    <w:rsid w:val="007B2B45"/>
    <w:rsid w:val="008021A4"/>
    <w:rsid w:val="00813164"/>
    <w:rsid w:val="00813A13"/>
    <w:rsid w:val="0081422F"/>
    <w:rsid w:val="008340C7"/>
    <w:rsid w:val="00844244"/>
    <w:rsid w:val="00854B9A"/>
    <w:rsid w:val="008647B2"/>
    <w:rsid w:val="008666EA"/>
    <w:rsid w:val="0089089B"/>
    <w:rsid w:val="008A4569"/>
    <w:rsid w:val="008A6821"/>
    <w:rsid w:val="008A79CA"/>
    <w:rsid w:val="008C0D00"/>
    <w:rsid w:val="008C4D38"/>
    <w:rsid w:val="008D110D"/>
    <w:rsid w:val="008D6D2D"/>
    <w:rsid w:val="00901E2E"/>
    <w:rsid w:val="0091370A"/>
    <w:rsid w:val="00934B85"/>
    <w:rsid w:val="009361C5"/>
    <w:rsid w:val="00942842"/>
    <w:rsid w:val="00944F3F"/>
    <w:rsid w:val="009574E2"/>
    <w:rsid w:val="00960237"/>
    <w:rsid w:val="0097109D"/>
    <w:rsid w:val="009729B3"/>
    <w:rsid w:val="00992F6E"/>
    <w:rsid w:val="00995650"/>
    <w:rsid w:val="009A046A"/>
    <w:rsid w:val="009D374A"/>
    <w:rsid w:val="009F63A1"/>
    <w:rsid w:val="00A15FC3"/>
    <w:rsid w:val="00A443D8"/>
    <w:rsid w:val="00A56DCC"/>
    <w:rsid w:val="00A60D36"/>
    <w:rsid w:val="00A631E7"/>
    <w:rsid w:val="00A63E8D"/>
    <w:rsid w:val="00A64E34"/>
    <w:rsid w:val="00A705DD"/>
    <w:rsid w:val="00A84EA7"/>
    <w:rsid w:val="00A911BD"/>
    <w:rsid w:val="00AA4BB9"/>
    <w:rsid w:val="00AB0A88"/>
    <w:rsid w:val="00AE3D3D"/>
    <w:rsid w:val="00B004C3"/>
    <w:rsid w:val="00B12098"/>
    <w:rsid w:val="00B1263D"/>
    <w:rsid w:val="00B227F8"/>
    <w:rsid w:val="00B57B52"/>
    <w:rsid w:val="00B74A5A"/>
    <w:rsid w:val="00B8230A"/>
    <w:rsid w:val="00B82471"/>
    <w:rsid w:val="00B96BC8"/>
    <w:rsid w:val="00BA29A6"/>
    <w:rsid w:val="00BA4C0F"/>
    <w:rsid w:val="00BB65A5"/>
    <w:rsid w:val="00BE2AA5"/>
    <w:rsid w:val="00BF69D4"/>
    <w:rsid w:val="00C011B6"/>
    <w:rsid w:val="00C0155E"/>
    <w:rsid w:val="00C04B29"/>
    <w:rsid w:val="00C121D0"/>
    <w:rsid w:val="00C21309"/>
    <w:rsid w:val="00C34329"/>
    <w:rsid w:val="00C449A4"/>
    <w:rsid w:val="00C56F80"/>
    <w:rsid w:val="00C65060"/>
    <w:rsid w:val="00C80CED"/>
    <w:rsid w:val="00C83AED"/>
    <w:rsid w:val="00C846EC"/>
    <w:rsid w:val="00C979BB"/>
    <w:rsid w:val="00CB2C71"/>
    <w:rsid w:val="00CB5449"/>
    <w:rsid w:val="00CC690E"/>
    <w:rsid w:val="00CD7805"/>
    <w:rsid w:val="00CE3078"/>
    <w:rsid w:val="00CE4795"/>
    <w:rsid w:val="00CF7E72"/>
    <w:rsid w:val="00D00921"/>
    <w:rsid w:val="00D0574A"/>
    <w:rsid w:val="00D1175B"/>
    <w:rsid w:val="00D131DE"/>
    <w:rsid w:val="00D146B3"/>
    <w:rsid w:val="00D27134"/>
    <w:rsid w:val="00D4707A"/>
    <w:rsid w:val="00D57439"/>
    <w:rsid w:val="00D57C44"/>
    <w:rsid w:val="00D92977"/>
    <w:rsid w:val="00DA61F2"/>
    <w:rsid w:val="00DC292E"/>
    <w:rsid w:val="00DD3A3B"/>
    <w:rsid w:val="00DE08E8"/>
    <w:rsid w:val="00DF139E"/>
    <w:rsid w:val="00DF1C6F"/>
    <w:rsid w:val="00DF1DA3"/>
    <w:rsid w:val="00E04428"/>
    <w:rsid w:val="00E05DC6"/>
    <w:rsid w:val="00E10FF2"/>
    <w:rsid w:val="00E15EDE"/>
    <w:rsid w:val="00E20332"/>
    <w:rsid w:val="00E21E83"/>
    <w:rsid w:val="00E22393"/>
    <w:rsid w:val="00E31FE6"/>
    <w:rsid w:val="00E42E20"/>
    <w:rsid w:val="00E66B22"/>
    <w:rsid w:val="00E772ED"/>
    <w:rsid w:val="00EA25F7"/>
    <w:rsid w:val="00EA2E93"/>
    <w:rsid w:val="00EB2805"/>
    <w:rsid w:val="00EC6F2D"/>
    <w:rsid w:val="00EC76D4"/>
    <w:rsid w:val="00F16964"/>
    <w:rsid w:val="00F2606F"/>
    <w:rsid w:val="00F34A8E"/>
    <w:rsid w:val="00F36A55"/>
    <w:rsid w:val="00F733DC"/>
    <w:rsid w:val="00F81D97"/>
    <w:rsid w:val="00FA10A1"/>
    <w:rsid w:val="00FD795F"/>
    <w:rsid w:val="00FE1BF6"/>
    <w:rsid w:val="00FE3C2C"/>
    <w:rsid w:val="00FF23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B076EF"/>
  <w15:docId w15:val="{EBE1C585-95CF-4CF1-A104-559245E9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A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258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58B"/>
    <w:rPr>
      <w:rFonts w:ascii="Tahoma" w:hAnsi="Tahoma" w:cs="Tahoma"/>
      <w:sz w:val="16"/>
      <w:szCs w:val="16"/>
    </w:rPr>
  </w:style>
  <w:style w:type="character" w:styleId="Rimandocommento">
    <w:name w:val="annotation reference"/>
    <w:basedOn w:val="Carpredefinitoparagrafo"/>
    <w:semiHidden/>
    <w:unhideWhenUsed/>
    <w:rsid w:val="006E1631"/>
    <w:rPr>
      <w:sz w:val="16"/>
      <w:szCs w:val="16"/>
    </w:rPr>
  </w:style>
  <w:style w:type="paragraph" w:styleId="Testocommento">
    <w:name w:val="annotation text"/>
    <w:basedOn w:val="Normale"/>
    <w:link w:val="TestocommentoCarattere"/>
    <w:unhideWhenUsed/>
    <w:rsid w:val="006E1631"/>
    <w:pPr>
      <w:spacing w:line="240" w:lineRule="auto"/>
    </w:pPr>
    <w:rPr>
      <w:sz w:val="20"/>
      <w:szCs w:val="20"/>
    </w:rPr>
  </w:style>
  <w:style w:type="character" w:customStyle="1" w:styleId="TestocommentoCarattere">
    <w:name w:val="Testo commento Carattere"/>
    <w:basedOn w:val="Carpredefinitoparagrafo"/>
    <w:link w:val="Testocommento"/>
    <w:rsid w:val="006E1631"/>
    <w:rPr>
      <w:sz w:val="20"/>
      <w:szCs w:val="20"/>
    </w:rPr>
  </w:style>
  <w:style w:type="paragraph" w:styleId="Soggettocommento">
    <w:name w:val="annotation subject"/>
    <w:basedOn w:val="Testocommento"/>
    <w:next w:val="Testocommento"/>
    <w:link w:val="SoggettocommentoCarattere"/>
    <w:uiPriority w:val="99"/>
    <w:semiHidden/>
    <w:unhideWhenUsed/>
    <w:rsid w:val="006E1631"/>
    <w:rPr>
      <w:b/>
      <w:bCs/>
    </w:rPr>
  </w:style>
  <w:style w:type="character" w:customStyle="1" w:styleId="SoggettocommentoCarattere">
    <w:name w:val="Soggetto commento Carattere"/>
    <w:basedOn w:val="TestocommentoCarattere"/>
    <w:link w:val="Soggettocommento"/>
    <w:uiPriority w:val="99"/>
    <w:semiHidden/>
    <w:rsid w:val="006E1631"/>
    <w:rPr>
      <w:b/>
      <w:bCs/>
      <w:sz w:val="20"/>
      <w:szCs w:val="20"/>
    </w:rPr>
  </w:style>
  <w:style w:type="paragraph" w:styleId="Paragrafoelenco">
    <w:name w:val="List Paragraph"/>
    <w:basedOn w:val="Normale"/>
    <w:uiPriority w:val="34"/>
    <w:qFormat/>
    <w:rsid w:val="00694409"/>
    <w:pPr>
      <w:ind w:left="720"/>
      <w:contextualSpacing/>
    </w:pPr>
  </w:style>
  <w:style w:type="paragraph" w:styleId="Intestazione">
    <w:name w:val="header"/>
    <w:basedOn w:val="Normale"/>
    <w:link w:val="IntestazioneCarattere"/>
    <w:uiPriority w:val="99"/>
    <w:unhideWhenUsed/>
    <w:rsid w:val="00813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13A13"/>
  </w:style>
  <w:style w:type="paragraph" w:styleId="Pidipagina">
    <w:name w:val="footer"/>
    <w:basedOn w:val="Normale"/>
    <w:link w:val="PidipaginaCarattere"/>
    <w:uiPriority w:val="99"/>
    <w:unhideWhenUsed/>
    <w:rsid w:val="00813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13A13"/>
  </w:style>
  <w:style w:type="table" w:styleId="Grigliatabella">
    <w:name w:val="Table Grid"/>
    <w:basedOn w:val="Tabellanormale"/>
    <w:uiPriority w:val="59"/>
    <w:rsid w:val="0081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49218">
      <w:bodyDiv w:val="1"/>
      <w:marLeft w:val="0"/>
      <w:marRight w:val="0"/>
      <w:marTop w:val="0"/>
      <w:marBottom w:val="0"/>
      <w:divBdr>
        <w:top w:val="none" w:sz="0" w:space="0" w:color="auto"/>
        <w:left w:val="none" w:sz="0" w:space="0" w:color="auto"/>
        <w:bottom w:val="none" w:sz="0" w:space="0" w:color="auto"/>
        <w:right w:val="none" w:sz="0" w:space="0" w:color="auto"/>
      </w:divBdr>
    </w:div>
    <w:div w:id="140155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2279-87AE-4AED-9167-F4A87024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397</Words>
  <Characters>2263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Mariani Marcella</dc:creator>
  <cp:lastModifiedBy>Nardi Alfonso</cp:lastModifiedBy>
  <cp:revision>10</cp:revision>
  <cp:lastPrinted>2018-05-30T09:27:00Z</cp:lastPrinted>
  <dcterms:created xsi:type="dcterms:W3CDTF">2018-12-19T14:57:00Z</dcterms:created>
  <dcterms:modified xsi:type="dcterms:W3CDTF">2018-12-20T09:57:00Z</dcterms:modified>
</cp:coreProperties>
</file>